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CC" w:rsidRPr="00431FF9" w:rsidRDefault="00736FCC" w:rsidP="00BE3739">
      <w:pPr>
        <w:pStyle w:val="BodyText"/>
        <w:jc w:val="left"/>
        <w:rPr>
          <w:rFonts w:ascii="Times New Roman" w:hAnsi="Times New Roman"/>
          <w:szCs w:val="24"/>
        </w:rPr>
      </w:pPr>
      <w:r w:rsidRPr="00431FF9">
        <w:rPr>
          <w:rFonts w:ascii="Times New Roman" w:hAnsi="Times New Roman"/>
          <w:szCs w:val="24"/>
        </w:rPr>
        <w:t xml:space="preserve">Capital Area Community Action Agency, Inc. is applying </w:t>
      </w:r>
      <w:r w:rsidRPr="00AD5513">
        <w:rPr>
          <w:rFonts w:ascii="Times New Roman" w:hAnsi="Times New Roman"/>
          <w:szCs w:val="24"/>
        </w:rPr>
        <w:t xml:space="preserve">for </w:t>
      </w:r>
      <w:r w:rsidRPr="00757A90">
        <w:rPr>
          <w:rFonts w:ascii="Times New Roman" w:hAnsi="Times New Roman"/>
          <w:b/>
          <w:szCs w:val="24"/>
        </w:rPr>
        <w:t>$3,</w:t>
      </w:r>
      <w:r w:rsidR="009E4595" w:rsidRPr="00757A90">
        <w:rPr>
          <w:rFonts w:ascii="Times New Roman" w:hAnsi="Times New Roman"/>
          <w:b/>
          <w:szCs w:val="24"/>
        </w:rPr>
        <w:t>525,297</w:t>
      </w:r>
      <w:r w:rsidRPr="00AD5513">
        <w:rPr>
          <w:rFonts w:ascii="Times New Roman" w:hAnsi="Times New Roman"/>
          <w:szCs w:val="24"/>
        </w:rPr>
        <w:t xml:space="preserve"> to provide Head Start services </w:t>
      </w:r>
      <w:r w:rsidRPr="000D01AD">
        <w:rPr>
          <w:rFonts w:ascii="Times New Roman" w:hAnsi="Times New Roman"/>
          <w:szCs w:val="24"/>
        </w:rPr>
        <w:t>to 378 children residing in Leon, Jefferson and Franklin Counties, Florida. The budget that follows reflects the costs necessary to operate the program for the grant year of</w:t>
      </w:r>
      <w:r w:rsidR="00BE3739" w:rsidRPr="000D01AD">
        <w:rPr>
          <w:rFonts w:ascii="Times New Roman" w:hAnsi="Times New Roman"/>
          <w:szCs w:val="24"/>
        </w:rPr>
        <w:t xml:space="preserve"> </w:t>
      </w:r>
      <w:r w:rsidR="00010CFD">
        <w:rPr>
          <w:rFonts w:ascii="Times New Roman" w:hAnsi="Times New Roman"/>
          <w:szCs w:val="24"/>
        </w:rPr>
        <w:t>July 1, 2020</w:t>
      </w:r>
      <w:r w:rsidR="00BE3739" w:rsidRPr="000D01AD">
        <w:rPr>
          <w:rFonts w:ascii="Times New Roman" w:hAnsi="Times New Roman"/>
          <w:szCs w:val="24"/>
        </w:rPr>
        <w:t xml:space="preserve"> – </w:t>
      </w:r>
      <w:r w:rsidR="00010CFD">
        <w:rPr>
          <w:rFonts w:ascii="Times New Roman" w:hAnsi="Times New Roman"/>
          <w:szCs w:val="24"/>
        </w:rPr>
        <w:t>June 30, 2021</w:t>
      </w:r>
      <w:r w:rsidRPr="000D01AD">
        <w:rPr>
          <w:rFonts w:ascii="Times New Roman" w:hAnsi="Times New Roman"/>
          <w:szCs w:val="24"/>
        </w:rPr>
        <w:t xml:space="preserve">. The Head Start program </w:t>
      </w:r>
      <w:r w:rsidR="00010CFD">
        <w:rPr>
          <w:rFonts w:ascii="Times New Roman" w:hAnsi="Times New Roman"/>
          <w:szCs w:val="24"/>
        </w:rPr>
        <w:t>will continue to operate for 180</w:t>
      </w:r>
      <w:r w:rsidRPr="000D01AD">
        <w:rPr>
          <w:rFonts w:ascii="Times New Roman" w:hAnsi="Times New Roman"/>
          <w:szCs w:val="24"/>
        </w:rPr>
        <w:t xml:space="preserve"> days</w:t>
      </w:r>
      <w:r w:rsidRPr="00431FF9">
        <w:rPr>
          <w:rFonts w:ascii="Times New Roman" w:hAnsi="Times New Roman"/>
          <w:szCs w:val="24"/>
        </w:rPr>
        <w:t>.</w:t>
      </w:r>
    </w:p>
    <w:p w:rsidR="00BE3739" w:rsidRDefault="00BE3739" w:rsidP="00BE3739">
      <w:pPr>
        <w:pStyle w:val="BodyText"/>
        <w:rPr>
          <w:rFonts w:ascii="Times New Roman" w:hAnsi="Times New Roman"/>
          <w:b/>
          <w:szCs w:val="24"/>
        </w:rPr>
      </w:pPr>
    </w:p>
    <w:p w:rsidR="00736FCC" w:rsidRPr="00431FF9" w:rsidRDefault="0072249E" w:rsidP="00BE3739">
      <w:pPr>
        <w:pStyle w:val="BodyText"/>
        <w:rPr>
          <w:rFonts w:ascii="Times New Roman" w:hAnsi="Times New Roman"/>
          <w:b/>
          <w:szCs w:val="24"/>
        </w:rPr>
      </w:pPr>
      <w:r>
        <w:rPr>
          <w:rFonts w:ascii="Times New Roman" w:hAnsi="Times New Roman"/>
          <w:b/>
          <w:szCs w:val="24"/>
          <w:highlight w:val="lightGray"/>
        </w:rPr>
        <w:t>Salaries &amp; Wages</w:t>
      </w:r>
      <w:r w:rsidR="00736FCC" w:rsidRPr="00B837D2">
        <w:rPr>
          <w:rFonts w:ascii="Times New Roman" w:hAnsi="Times New Roman"/>
          <w:b/>
          <w:szCs w:val="24"/>
          <w:highlight w:val="lightGray"/>
        </w:rPr>
        <w:t xml:space="preserve"> – $</w:t>
      </w:r>
      <w:r w:rsidR="00B05B51">
        <w:rPr>
          <w:rFonts w:ascii="Times New Roman" w:hAnsi="Times New Roman"/>
          <w:b/>
          <w:szCs w:val="24"/>
          <w:highlight w:val="yellow"/>
        </w:rPr>
        <w:t>1,682,119</w:t>
      </w:r>
      <w:r w:rsidR="00A133F3">
        <w:rPr>
          <w:rFonts w:ascii="Times New Roman" w:hAnsi="Times New Roman"/>
          <w:b/>
          <w:szCs w:val="24"/>
          <w:highlight w:val="yellow"/>
        </w:rPr>
        <w:t xml:space="preserve">    </w:t>
      </w:r>
      <w:r w:rsidR="00B05B51">
        <w:rPr>
          <w:rFonts w:ascii="Times New Roman" w:hAnsi="Times New Roman"/>
          <w:b/>
          <w:szCs w:val="24"/>
          <w:highlight w:val="yellow"/>
        </w:rPr>
        <w:t>48</w:t>
      </w:r>
      <w:r w:rsidR="00736FCC" w:rsidRPr="00B837D2">
        <w:rPr>
          <w:rFonts w:ascii="Times New Roman" w:hAnsi="Times New Roman"/>
          <w:b/>
          <w:szCs w:val="24"/>
          <w:highlight w:val="lightGray"/>
        </w:rPr>
        <w:t>% of Budget</w:t>
      </w:r>
    </w:p>
    <w:p w:rsidR="00736FCC" w:rsidRDefault="00736FCC" w:rsidP="00BE3739">
      <w:pPr>
        <w:pStyle w:val="BodyText"/>
        <w:rPr>
          <w:rFonts w:ascii="Times New Roman" w:hAnsi="Times New Roman"/>
          <w:szCs w:val="24"/>
        </w:rPr>
      </w:pPr>
      <w:r w:rsidRPr="00431FF9">
        <w:rPr>
          <w:rFonts w:ascii="Times New Roman" w:hAnsi="Times New Roman"/>
          <w:szCs w:val="24"/>
        </w:rPr>
        <w:t xml:space="preserve">All applicable salaries and benefits are blended with funds from </w:t>
      </w:r>
      <w:r w:rsidR="00EB7A10" w:rsidRPr="00431FF9">
        <w:rPr>
          <w:rFonts w:ascii="Times New Roman" w:hAnsi="Times New Roman"/>
          <w:szCs w:val="24"/>
        </w:rPr>
        <w:t>Voluntary Pre-kindergar</w:t>
      </w:r>
      <w:r w:rsidR="00A133F3">
        <w:rPr>
          <w:rFonts w:ascii="Times New Roman" w:hAnsi="Times New Roman"/>
          <w:szCs w:val="24"/>
        </w:rPr>
        <w:t>ten (VPK), School Readiness (SR) Childcare Foo</w:t>
      </w:r>
      <w:r w:rsidR="00010CFD">
        <w:rPr>
          <w:rFonts w:ascii="Times New Roman" w:hAnsi="Times New Roman"/>
          <w:szCs w:val="24"/>
        </w:rPr>
        <w:t>d Program (CCFP)</w:t>
      </w:r>
      <w:r w:rsidR="00A133F3">
        <w:rPr>
          <w:rFonts w:ascii="Times New Roman" w:hAnsi="Times New Roman"/>
          <w:szCs w:val="24"/>
        </w:rPr>
        <w:t xml:space="preserve"> </w:t>
      </w:r>
      <w:r w:rsidR="00EB7A10" w:rsidRPr="00431FF9">
        <w:rPr>
          <w:rFonts w:ascii="Times New Roman" w:hAnsi="Times New Roman"/>
          <w:szCs w:val="24"/>
        </w:rPr>
        <w:t>and</w:t>
      </w:r>
      <w:r w:rsidRPr="00431FF9">
        <w:rPr>
          <w:rFonts w:ascii="Times New Roman" w:hAnsi="Times New Roman"/>
          <w:szCs w:val="24"/>
        </w:rPr>
        <w:t xml:space="preserve"> </w:t>
      </w:r>
      <w:r w:rsidR="00EB7A10" w:rsidRPr="00431FF9">
        <w:rPr>
          <w:rFonts w:ascii="Times New Roman" w:hAnsi="Times New Roman"/>
          <w:szCs w:val="24"/>
        </w:rPr>
        <w:t>Community Human Services Program (CHSP</w:t>
      </w:r>
      <w:r w:rsidR="00010CFD">
        <w:rPr>
          <w:rFonts w:ascii="Times New Roman" w:hAnsi="Times New Roman"/>
          <w:szCs w:val="24"/>
        </w:rPr>
        <w:t>)</w:t>
      </w:r>
      <w:r w:rsidR="00A133F3">
        <w:rPr>
          <w:rFonts w:ascii="Times New Roman" w:hAnsi="Times New Roman"/>
          <w:szCs w:val="24"/>
        </w:rPr>
        <w:t xml:space="preserve">. </w:t>
      </w:r>
      <w:r w:rsidRPr="00431FF9">
        <w:rPr>
          <w:rFonts w:ascii="Times New Roman" w:hAnsi="Times New Roman"/>
          <w:szCs w:val="24"/>
        </w:rPr>
        <w:t xml:space="preserve"> All employees are compensated according to a salary scale approved by the Governing Board and Policy Council</w:t>
      </w:r>
      <w:r w:rsidR="00BE3739">
        <w:rPr>
          <w:rFonts w:ascii="Times New Roman" w:hAnsi="Times New Roman"/>
          <w:szCs w:val="24"/>
        </w:rPr>
        <w:t>.</w:t>
      </w:r>
      <w:r w:rsidRPr="00431FF9">
        <w:rPr>
          <w:rFonts w:ascii="Times New Roman" w:hAnsi="Times New Roman"/>
          <w:szCs w:val="24"/>
        </w:rPr>
        <w:t xml:space="preserve">  No staff member receives compensation in excess of $17</w:t>
      </w:r>
      <w:r w:rsidR="00BE3739">
        <w:rPr>
          <w:rFonts w:ascii="Times New Roman" w:hAnsi="Times New Roman"/>
          <w:szCs w:val="24"/>
        </w:rPr>
        <w:t xml:space="preserve">9,700. The program will employ </w:t>
      </w:r>
      <w:r w:rsidR="00114F3F">
        <w:rPr>
          <w:rFonts w:ascii="Times New Roman" w:hAnsi="Times New Roman"/>
          <w:szCs w:val="24"/>
        </w:rPr>
        <w:t>75 full-time and 4</w:t>
      </w:r>
      <w:r w:rsidR="00A133F3">
        <w:rPr>
          <w:rFonts w:ascii="Times New Roman" w:hAnsi="Times New Roman"/>
          <w:szCs w:val="24"/>
        </w:rPr>
        <w:t xml:space="preserve"> part-time employees.  Part-time staff include Substitutes </w:t>
      </w:r>
      <w:r w:rsidR="00A133F3" w:rsidRPr="00F95C96">
        <w:rPr>
          <w:rFonts w:ascii="Times New Roman" w:hAnsi="Times New Roman"/>
          <w:szCs w:val="24"/>
        </w:rPr>
        <w:t>to ensure all classrooms are fully staffed when someone is absent from work, allowing the program to maintain proper coverage and stay in ratio</w:t>
      </w:r>
      <w:r w:rsidR="00A133F3">
        <w:rPr>
          <w:rFonts w:ascii="Times New Roman" w:hAnsi="Times New Roman"/>
          <w:szCs w:val="24"/>
        </w:rPr>
        <w:t xml:space="preserve">,  and staff for the revised Extended Day program which is funded in total by VPK and SR dollars.  </w:t>
      </w:r>
      <w:r w:rsidR="00BE3739">
        <w:rPr>
          <w:rFonts w:ascii="Times New Roman" w:hAnsi="Times New Roman"/>
          <w:szCs w:val="24"/>
        </w:rPr>
        <w:t xml:space="preserve"> </w:t>
      </w:r>
      <w:r w:rsidR="00F95C96" w:rsidRPr="00F95C96">
        <w:rPr>
          <w:rFonts w:ascii="Times New Roman" w:hAnsi="Times New Roman"/>
          <w:szCs w:val="24"/>
        </w:rPr>
        <w:t xml:space="preserve"> </w:t>
      </w:r>
      <w:r w:rsidR="00F95C96">
        <w:rPr>
          <w:rFonts w:ascii="Times New Roman" w:hAnsi="Times New Roman"/>
          <w:szCs w:val="24"/>
        </w:rPr>
        <w:t xml:space="preserve">Personnel </w:t>
      </w:r>
      <w:r w:rsidRPr="00431FF9">
        <w:rPr>
          <w:rFonts w:ascii="Times New Roman" w:hAnsi="Times New Roman"/>
          <w:szCs w:val="24"/>
        </w:rPr>
        <w:t xml:space="preserve">costs are broken down according to the position specifications in the salary schedule of the budget. </w:t>
      </w:r>
      <w:proofErr w:type="gramStart"/>
      <w:r w:rsidR="00803DC8" w:rsidRPr="00B05B51">
        <w:rPr>
          <w:rFonts w:ascii="Times New Roman" w:hAnsi="Times New Roman"/>
          <w:szCs w:val="24"/>
        </w:rPr>
        <w:t>$</w:t>
      </w:r>
      <w:r w:rsidR="000D01AD" w:rsidRPr="00B05B51">
        <w:rPr>
          <w:rFonts w:ascii="Times New Roman" w:hAnsi="Times New Roman"/>
          <w:b/>
          <w:szCs w:val="24"/>
        </w:rPr>
        <w:t>1,</w:t>
      </w:r>
      <w:r w:rsidR="00B05B51" w:rsidRPr="00B05B51">
        <w:rPr>
          <w:rFonts w:ascii="Times New Roman" w:hAnsi="Times New Roman"/>
          <w:b/>
          <w:szCs w:val="24"/>
        </w:rPr>
        <w:t>682</w:t>
      </w:r>
      <w:r w:rsidR="00B05B51">
        <w:rPr>
          <w:rFonts w:ascii="Times New Roman" w:hAnsi="Times New Roman"/>
          <w:b/>
          <w:szCs w:val="24"/>
        </w:rPr>
        <w:t>,119.</w:t>
      </w:r>
      <w:proofErr w:type="gramEnd"/>
    </w:p>
    <w:p w:rsidR="00DB643D" w:rsidRPr="00296B05" w:rsidRDefault="00DB643D" w:rsidP="00BE3739">
      <w:pPr>
        <w:pStyle w:val="BodyText"/>
        <w:rPr>
          <w:rFonts w:ascii="Times New Roman" w:hAnsi="Times New Roman"/>
          <w:szCs w:val="24"/>
        </w:rPr>
      </w:pPr>
    </w:p>
    <w:p w:rsidR="00736FCC" w:rsidRPr="00431FF9" w:rsidRDefault="00736FCC" w:rsidP="00BE3739">
      <w:pPr>
        <w:pStyle w:val="BodyText"/>
        <w:rPr>
          <w:rFonts w:ascii="Times New Roman" w:hAnsi="Times New Roman"/>
          <w:b/>
          <w:szCs w:val="24"/>
        </w:rPr>
      </w:pPr>
      <w:r w:rsidRPr="00B837D2">
        <w:rPr>
          <w:rFonts w:ascii="Times New Roman" w:hAnsi="Times New Roman"/>
          <w:b/>
          <w:szCs w:val="24"/>
          <w:highlight w:val="lightGray"/>
        </w:rPr>
        <w:t>Fringe Benefits –$</w:t>
      </w:r>
      <w:proofErr w:type="gramStart"/>
      <w:r w:rsidR="00B05B51">
        <w:rPr>
          <w:rFonts w:ascii="Times New Roman" w:hAnsi="Times New Roman"/>
          <w:b/>
          <w:szCs w:val="24"/>
          <w:highlight w:val="yellow"/>
        </w:rPr>
        <w:t>487,478</w:t>
      </w:r>
      <w:r w:rsidR="0072249E" w:rsidRPr="00F569D1">
        <w:rPr>
          <w:rFonts w:ascii="Times New Roman" w:hAnsi="Times New Roman"/>
          <w:b/>
          <w:szCs w:val="24"/>
          <w:highlight w:val="yellow"/>
        </w:rPr>
        <w:t xml:space="preserve"> </w:t>
      </w:r>
      <w:r w:rsidR="00AD5513" w:rsidRPr="00F569D1">
        <w:rPr>
          <w:rFonts w:ascii="Times New Roman" w:hAnsi="Times New Roman"/>
          <w:b/>
          <w:szCs w:val="24"/>
          <w:highlight w:val="yellow"/>
        </w:rPr>
        <w:t xml:space="preserve"> </w:t>
      </w:r>
      <w:r w:rsidRPr="00F569D1">
        <w:rPr>
          <w:rFonts w:ascii="Times New Roman" w:hAnsi="Times New Roman"/>
          <w:b/>
          <w:szCs w:val="24"/>
          <w:highlight w:val="yellow"/>
        </w:rPr>
        <w:t>1</w:t>
      </w:r>
      <w:r w:rsidR="00B05B51">
        <w:rPr>
          <w:rFonts w:ascii="Times New Roman" w:hAnsi="Times New Roman"/>
          <w:b/>
          <w:szCs w:val="24"/>
          <w:highlight w:val="yellow"/>
        </w:rPr>
        <w:t>4</w:t>
      </w:r>
      <w:proofErr w:type="gramEnd"/>
      <w:r w:rsidRPr="00B837D2">
        <w:rPr>
          <w:rFonts w:ascii="Times New Roman" w:hAnsi="Times New Roman"/>
          <w:b/>
          <w:szCs w:val="24"/>
          <w:highlight w:val="lightGray"/>
        </w:rPr>
        <w:t>% of Budget</w:t>
      </w:r>
    </w:p>
    <w:p w:rsidR="00BE3739" w:rsidRDefault="00736FCC" w:rsidP="00BE3739">
      <w:pPr>
        <w:pStyle w:val="BodyText"/>
        <w:rPr>
          <w:rFonts w:ascii="Times New Roman" w:hAnsi="Times New Roman"/>
          <w:szCs w:val="24"/>
        </w:rPr>
      </w:pPr>
      <w:r w:rsidRPr="00431FF9">
        <w:rPr>
          <w:rFonts w:ascii="Times New Roman" w:hAnsi="Times New Roman"/>
          <w:szCs w:val="24"/>
        </w:rPr>
        <w:t xml:space="preserve">Capital Area Community Action Agency provides mandated federal and state benefits in addition to health benefits and retirement contributions. The line item total for fringe benefits is </w:t>
      </w:r>
      <w:r w:rsidRPr="00B05B51">
        <w:rPr>
          <w:rFonts w:ascii="Times New Roman" w:hAnsi="Times New Roman"/>
          <w:b/>
          <w:szCs w:val="24"/>
        </w:rPr>
        <w:t>$</w:t>
      </w:r>
      <w:r w:rsidR="00B05B51" w:rsidRPr="00B05B51">
        <w:rPr>
          <w:rFonts w:ascii="Times New Roman" w:hAnsi="Times New Roman"/>
          <w:b/>
          <w:szCs w:val="24"/>
        </w:rPr>
        <w:t>487,478</w:t>
      </w:r>
      <w:r w:rsidR="009E4595" w:rsidRPr="00B05B51">
        <w:rPr>
          <w:rFonts w:ascii="Times New Roman" w:hAnsi="Times New Roman"/>
          <w:b/>
          <w:szCs w:val="24"/>
        </w:rPr>
        <w:t>.</w:t>
      </w:r>
      <w:r w:rsidR="000D01AD">
        <w:rPr>
          <w:rFonts w:ascii="Times New Roman" w:hAnsi="Times New Roman"/>
          <w:szCs w:val="24"/>
        </w:rPr>
        <w:t xml:space="preserve"> </w:t>
      </w:r>
      <w:r w:rsidR="009642C2" w:rsidRPr="00431FF9">
        <w:rPr>
          <w:rFonts w:ascii="Times New Roman" w:hAnsi="Times New Roman"/>
          <w:b/>
          <w:bCs/>
          <w:szCs w:val="24"/>
        </w:rPr>
        <w:t xml:space="preserve"> </w:t>
      </w:r>
      <w:r w:rsidRPr="00431FF9">
        <w:rPr>
          <w:rFonts w:ascii="Times New Roman" w:hAnsi="Times New Roman"/>
          <w:szCs w:val="24"/>
        </w:rPr>
        <w:t xml:space="preserve">The Agency matches employee </w:t>
      </w:r>
      <w:r w:rsidRPr="005E4DD0">
        <w:rPr>
          <w:rFonts w:ascii="Times New Roman" w:hAnsi="Times New Roman"/>
          <w:szCs w:val="24"/>
        </w:rPr>
        <w:t xml:space="preserve">contributions up to 3% of their annual salary in a 401k Retirement Plan.  The Agency provides health insurance with prescription coverage to all full-time employees, and contributes </w:t>
      </w:r>
      <w:r w:rsidR="005E4DD0">
        <w:rPr>
          <w:rFonts w:ascii="Times New Roman" w:hAnsi="Times New Roman"/>
          <w:szCs w:val="24"/>
        </w:rPr>
        <w:t>up to 8</w:t>
      </w:r>
      <w:r w:rsidR="00A133F3">
        <w:rPr>
          <w:rFonts w:ascii="Times New Roman" w:hAnsi="Times New Roman"/>
          <w:szCs w:val="24"/>
        </w:rPr>
        <w:t>6</w:t>
      </w:r>
      <w:r w:rsidRPr="005E4DD0">
        <w:rPr>
          <w:rFonts w:ascii="Times New Roman" w:hAnsi="Times New Roman"/>
          <w:szCs w:val="24"/>
        </w:rPr>
        <w:t>% of the premium.  The Agency also provides life, accident and short-term disability coverage to all full</w:t>
      </w:r>
      <w:r w:rsidRPr="00431FF9">
        <w:rPr>
          <w:rFonts w:ascii="Times New Roman" w:hAnsi="Times New Roman"/>
          <w:szCs w:val="24"/>
        </w:rPr>
        <w:t xml:space="preserve">-time employees at no cost to the employee.   </w:t>
      </w:r>
    </w:p>
    <w:p w:rsidR="00DB643D" w:rsidRDefault="00DB643D" w:rsidP="00BE3739">
      <w:pPr>
        <w:pStyle w:val="BodyText"/>
        <w:rPr>
          <w:rFonts w:ascii="Times New Roman" w:hAnsi="Times New Roman"/>
          <w:szCs w:val="24"/>
        </w:rPr>
      </w:pPr>
    </w:p>
    <w:p w:rsidR="0072249E" w:rsidRPr="00B44445" w:rsidRDefault="0072249E" w:rsidP="0072249E">
      <w:pPr>
        <w:keepNext/>
        <w:jc w:val="both"/>
        <w:rPr>
          <w:b/>
          <w:bCs/>
          <w:color w:val="000000"/>
          <w:sz w:val="24"/>
          <w:szCs w:val="24"/>
        </w:rPr>
      </w:pPr>
      <w:r w:rsidRPr="00CA0961">
        <w:rPr>
          <w:b/>
          <w:sz w:val="24"/>
          <w:szCs w:val="24"/>
          <w:highlight w:val="lightGray"/>
        </w:rPr>
        <w:t>Indirect – $</w:t>
      </w:r>
      <w:r w:rsidR="00B05B51">
        <w:rPr>
          <w:b/>
          <w:sz w:val="24"/>
          <w:szCs w:val="24"/>
          <w:highlight w:val="yellow"/>
        </w:rPr>
        <w:t>393,999</w:t>
      </w:r>
      <w:r w:rsidR="00114F3F">
        <w:rPr>
          <w:b/>
          <w:sz w:val="24"/>
          <w:szCs w:val="24"/>
          <w:highlight w:val="yellow"/>
        </w:rPr>
        <w:t xml:space="preserve">   11</w:t>
      </w:r>
      <w:r w:rsidRPr="00CA0961">
        <w:rPr>
          <w:b/>
          <w:sz w:val="24"/>
          <w:szCs w:val="24"/>
          <w:highlight w:val="lightGray"/>
        </w:rPr>
        <w:t>% of Budget</w:t>
      </w:r>
      <w:r w:rsidRPr="00B44445">
        <w:rPr>
          <w:b/>
          <w:sz w:val="24"/>
          <w:szCs w:val="24"/>
        </w:rPr>
        <w:t xml:space="preserve"> </w:t>
      </w:r>
    </w:p>
    <w:p w:rsidR="0072249E" w:rsidRPr="0072249E" w:rsidRDefault="0072249E" w:rsidP="0072249E">
      <w:pPr>
        <w:pStyle w:val="BodyText"/>
        <w:keepNext/>
        <w:rPr>
          <w:rFonts w:ascii="Times New Roman" w:hAnsi="Times New Roman"/>
          <w:szCs w:val="24"/>
        </w:rPr>
      </w:pPr>
      <w:r w:rsidRPr="00B44445">
        <w:rPr>
          <w:rFonts w:ascii="Times New Roman" w:hAnsi="Times New Roman"/>
          <w:szCs w:val="24"/>
        </w:rPr>
        <w:t>The grantee’s indirect cost rate is negotiated between Capital Area Community Action Agency</w:t>
      </w:r>
      <w:r>
        <w:rPr>
          <w:rFonts w:ascii="Times New Roman" w:hAnsi="Times New Roman"/>
          <w:szCs w:val="24"/>
        </w:rPr>
        <w:t xml:space="preserve"> </w:t>
      </w:r>
      <w:r w:rsidRPr="00431FF9">
        <w:rPr>
          <w:rFonts w:ascii="Times New Roman" w:hAnsi="Times New Roman"/>
          <w:szCs w:val="24"/>
        </w:rPr>
        <w:t xml:space="preserve">and the funder.  </w:t>
      </w:r>
      <w:r w:rsidR="00114F3F">
        <w:rPr>
          <w:rFonts w:ascii="Times New Roman" w:hAnsi="Times New Roman"/>
          <w:szCs w:val="24"/>
        </w:rPr>
        <w:t>Current rate is 18.16</w:t>
      </w:r>
      <w:r w:rsidRPr="00B05B51">
        <w:rPr>
          <w:rFonts w:ascii="Times New Roman" w:hAnsi="Times New Roman"/>
          <w:szCs w:val="24"/>
        </w:rPr>
        <w:t>%.   $</w:t>
      </w:r>
      <w:r w:rsidR="00B05B51" w:rsidRPr="00B05B51">
        <w:rPr>
          <w:rFonts w:ascii="Times New Roman" w:hAnsi="Times New Roman"/>
          <w:b/>
          <w:szCs w:val="24"/>
        </w:rPr>
        <w:t>393</w:t>
      </w:r>
      <w:r w:rsidR="00B05B51">
        <w:rPr>
          <w:rFonts w:ascii="Times New Roman" w:hAnsi="Times New Roman"/>
          <w:b/>
          <w:szCs w:val="24"/>
        </w:rPr>
        <w:t>,999</w:t>
      </w:r>
    </w:p>
    <w:p w:rsidR="0072249E" w:rsidRPr="00BE3739" w:rsidRDefault="0072249E" w:rsidP="00BE3739">
      <w:pPr>
        <w:pStyle w:val="BodyText"/>
        <w:rPr>
          <w:rFonts w:ascii="Times New Roman" w:hAnsi="Times New Roman"/>
          <w:szCs w:val="24"/>
        </w:rPr>
      </w:pPr>
    </w:p>
    <w:p w:rsidR="00736FCC" w:rsidRPr="00431FF9" w:rsidRDefault="003D25DB" w:rsidP="00BE3739">
      <w:pPr>
        <w:pStyle w:val="BodyText"/>
        <w:rPr>
          <w:rFonts w:ascii="Times New Roman" w:hAnsi="Times New Roman"/>
          <w:b/>
          <w:szCs w:val="24"/>
        </w:rPr>
      </w:pPr>
      <w:r>
        <w:rPr>
          <w:rFonts w:ascii="Times New Roman" w:hAnsi="Times New Roman"/>
          <w:b/>
          <w:szCs w:val="24"/>
          <w:highlight w:val="lightGray"/>
        </w:rPr>
        <w:t xml:space="preserve">Travel </w:t>
      </w:r>
      <w:proofErr w:type="gramStart"/>
      <w:r>
        <w:rPr>
          <w:rFonts w:ascii="Times New Roman" w:hAnsi="Times New Roman"/>
          <w:b/>
          <w:szCs w:val="24"/>
          <w:highlight w:val="lightGray"/>
        </w:rPr>
        <w:t>In</w:t>
      </w:r>
      <w:proofErr w:type="gramEnd"/>
      <w:r w:rsidR="00ED635A" w:rsidRPr="00ED635A">
        <w:rPr>
          <w:rFonts w:ascii="Times New Roman" w:hAnsi="Times New Roman"/>
          <w:b/>
          <w:szCs w:val="24"/>
          <w:highlight w:val="lightGray"/>
        </w:rPr>
        <w:t xml:space="preserve"> </w:t>
      </w:r>
      <w:r w:rsidR="00F569D1" w:rsidRPr="00ED635A">
        <w:rPr>
          <w:rFonts w:ascii="Times New Roman" w:hAnsi="Times New Roman"/>
          <w:b/>
          <w:szCs w:val="24"/>
          <w:highlight w:val="lightGray"/>
        </w:rPr>
        <w:t xml:space="preserve">Area </w:t>
      </w:r>
      <w:r w:rsidR="00736FCC" w:rsidRPr="00ED635A">
        <w:rPr>
          <w:rFonts w:ascii="Times New Roman" w:hAnsi="Times New Roman"/>
          <w:b/>
          <w:szCs w:val="24"/>
          <w:highlight w:val="yellow"/>
        </w:rPr>
        <w:t xml:space="preserve">$ </w:t>
      </w:r>
      <w:r w:rsidR="00B05B51">
        <w:rPr>
          <w:rFonts w:ascii="Times New Roman" w:hAnsi="Times New Roman"/>
          <w:b/>
          <w:szCs w:val="24"/>
          <w:highlight w:val="yellow"/>
        </w:rPr>
        <w:t>4</w:t>
      </w:r>
      <w:r w:rsidR="00ED635A" w:rsidRPr="00ED635A">
        <w:rPr>
          <w:rFonts w:ascii="Times New Roman" w:hAnsi="Times New Roman"/>
          <w:b/>
          <w:szCs w:val="24"/>
          <w:highlight w:val="yellow"/>
        </w:rPr>
        <w:t>,0</w:t>
      </w:r>
      <w:r w:rsidR="0072249E" w:rsidRPr="00ED635A">
        <w:rPr>
          <w:rFonts w:ascii="Times New Roman" w:hAnsi="Times New Roman"/>
          <w:b/>
          <w:szCs w:val="24"/>
          <w:highlight w:val="yellow"/>
        </w:rPr>
        <w:t>00</w:t>
      </w:r>
      <w:r w:rsidR="00AD5513" w:rsidRPr="00ED635A">
        <w:rPr>
          <w:rFonts w:ascii="Times New Roman" w:hAnsi="Times New Roman"/>
          <w:b/>
          <w:szCs w:val="24"/>
          <w:highlight w:val="yellow"/>
        </w:rPr>
        <w:t xml:space="preserve"> </w:t>
      </w:r>
      <w:r>
        <w:rPr>
          <w:rFonts w:ascii="Times New Roman" w:hAnsi="Times New Roman"/>
          <w:b/>
          <w:szCs w:val="24"/>
          <w:highlight w:val="yellow"/>
        </w:rPr>
        <w:t xml:space="preserve"> </w:t>
      </w:r>
      <w:r w:rsidR="00F705A7">
        <w:rPr>
          <w:rFonts w:ascii="Times New Roman" w:hAnsi="Times New Roman"/>
          <w:b/>
          <w:szCs w:val="24"/>
          <w:highlight w:val="yellow"/>
        </w:rPr>
        <w:t xml:space="preserve"> </w:t>
      </w:r>
      <w:r w:rsidR="00EB7A10" w:rsidRPr="00ED635A">
        <w:rPr>
          <w:rFonts w:ascii="Times New Roman" w:hAnsi="Times New Roman"/>
          <w:b/>
          <w:szCs w:val="24"/>
          <w:highlight w:val="yellow"/>
        </w:rPr>
        <w:t>1</w:t>
      </w:r>
      <w:r w:rsidR="00736FCC" w:rsidRPr="00ED635A">
        <w:rPr>
          <w:rFonts w:ascii="Times New Roman" w:hAnsi="Times New Roman"/>
          <w:b/>
          <w:szCs w:val="24"/>
          <w:highlight w:val="yellow"/>
        </w:rPr>
        <w:t>%</w:t>
      </w:r>
      <w:r w:rsidR="00736FCC" w:rsidRPr="00ED635A">
        <w:rPr>
          <w:rFonts w:ascii="Times New Roman" w:hAnsi="Times New Roman"/>
          <w:b/>
          <w:szCs w:val="24"/>
        </w:rPr>
        <w:t xml:space="preserve"> </w:t>
      </w:r>
      <w:r w:rsidR="00736FCC" w:rsidRPr="00453C67">
        <w:rPr>
          <w:rFonts w:ascii="Times New Roman" w:hAnsi="Times New Roman"/>
          <w:b/>
          <w:szCs w:val="24"/>
          <w:highlight w:val="lightGray"/>
        </w:rPr>
        <w:t>of Budget</w:t>
      </w:r>
    </w:p>
    <w:p w:rsidR="00736FCC" w:rsidRDefault="00ED635A" w:rsidP="00BE3739">
      <w:pPr>
        <w:pStyle w:val="BodyText"/>
        <w:rPr>
          <w:rFonts w:ascii="Times New Roman" w:hAnsi="Times New Roman"/>
          <w:szCs w:val="24"/>
        </w:rPr>
      </w:pPr>
      <w:r>
        <w:rPr>
          <w:rFonts w:ascii="Times New Roman" w:hAnsi="Times New Roman"/>
          <w:szCs w:val="24"/>
        </w:rPr>
        <w:t xml:space="preserve">Staff </w:t>
      </w:r>
      <w:r w:rsidR="00736FCC" w:rsidRPr="00431FF9">
        <w:rPr>
          <w:rFonts w:ascii="Times New Roman" w:hAnsi="Times New Roman"/>
          <w:szCs w:val="24"/>
        </w:rPr>
        <w:t xml:space="preserve">travel funds </w:t>
      </w:r>
      <w:r w:rsidR="00735BDE" w:rsidRPr="00B05B51">
        <w:rPr>
          <w:rFonts w:ascii="Times New Roman" w:hAnsi="Times New Roman"/>
          <w:szCs w:val="24"/>
        </w:rPr>
        <w:t>totaling</w:t>
      </w:r>
      <w:r w:rsidR="00736FCC" w:rsidRPr="00B05B51">
        <w:rPr>
          <w:rFonts w:ascii="Times New Roman" w:hAnsi="Times New Roman"/>
          <w:szCs w:val="24"/>
        </w:rPr>
        <w:t xml:space="preserve"> </w:t>
      </w:r>
      <w:r w:rsidR="00B05B51" w:rsidRPr="00B05B51">
        <w:rPr>
          <w:rFonts w:ascii="Times New Roman" w:hAnsi="Times New Roman"/>
          <w:b/>
          <w:szCs w:val="24"/>
        </w:rPr>
        <w:t>$4</w:t>
      </w:r>
      <w:r w:rsidRPr="00B05B51">
        <w:rPr>
          <w:rFonts w:ascii="Times New Roman" w:hAnsi="Times New Roman"/>
          <w:b/>
          <w:szCs w:val="24"/>
        </w:rPr>
        <w:t>,0</w:t>
      </w:r>
      <w:r w:rsidR="0072249E" w:rsidRPr="00B05B51">
        <w:rPr>
          <w:rFonts w:ascii="Times New Roman" w:hAnsi="Times New Roman"/>
          <w:b/>
          <w:szCs w:val="24"/>
        </w:rPr>
        <w:t>00</w:t>
      </w:r>
      <w:r w:rsidR="00AD5513" w:rsidRPr="00B05B51">
        <w:rPr>
          <w:rFonts w:ascii="Times New Roman" w:hAnsi="Times New Roman"/>
          <w:szCs w:val="24"/>
        </w:rPr>
        <w:t xml:space="preserve"> </w:t>
      </w:r>
      <w:r w:rsidR="00736FCC" w:rsidRPr="00B05B51">
        <w:rPr>
          <w:rFonts w:ascii="Times New Roman" w:hAnsi="Times New Roman"/>
          <w:szCs w:val="24"/>
        </w:rPr>
        <w:t>are budgeted for staff travel to and from centers and administration office at a rate of $.445/</w:t>
      </w:r>
      <w:r w:rsidR="00736FCC" w:rsidRPr="00431FF9">
        <w:rPr>
          <w:rFonts w:ascii="Times New Roman" w:hAnsi="Times New Roman"/>
          <w:szCs w:val="24"/>
        </w:rPr>
        <w:t>mile, as well as to meetings. Travel costs related to Training and Staff Development are covered in the Training and Technical Assistance section.</w:t>
      </w:r>
    </w:p>
    <w:p w:rsidR="00DB643D" w:rsidRPr="00431FF9" w:rsidRDefault="00DB643D" w:rsidP="00BE3739">
      <w:pPr>
        <w:pStyle w:val="BodyText"/>
        <w:rPr>
          <w:rFonts w:ascii="Times New Roman" w:hAnsi="Times New Roman"/>
          <w:szCs w:val="24"/>
        </w:rPr>
      </w:pPr>
    </w:p>
    <w:p w:rsidR="00736FCC" w:rsidRPr="00FB3D74" w:rsidRDefault="00BE3739" w:rsidP="00BE3739">
      <w:pPr>
        <w:pStyle w:val="BodyText"/>
        <w:rPr>
          <w:rFonts w:ascii="Times New Roman" w:hAnsi="Times New Roman"/>
          <w:b/>
          <w:szCs w:val="24"/>
        </w:rPr>
      </w:pPr>
      <w:r w:rsidRPr="00F334E5">
        <w:rPr>
          <w:rFonts w:ascii="Times New Roman" w:hAnsi="Times New Roman"/>
          <w:b/>
          <w:szCs w:val="24"/>
          <w:highlight w:val="lightGray"/>
        </w:rPr>
        <w:t xml:space="preserve">Supplies – </w:t>
      </w:r>
      <w:r w:rsidR="00736FCC" w:rsidRPr="009E3AAA">
        <w:rPr>
          <w:rFonts w:ascii="Times New Roman" w:hAnsi="Times New Roman"/>
          <w:b/>
          <w:szCs w:val="24"/>
          <w:highlight w:val="yellow"/>
        </w:rPr>
        <w:t xml:space="preserve">$ </w:t>
      </w:r>
      <w:r w:rsidR="00B05B51">
        <w:rPr>
          <w:rFonts w:ascii="Times New Roman" w:hAnsi="Times New Roman"/>
          <w:b/>
          <w:szCs w:val="24"/>
          <w:highlight w:val="yellow"/>
        </w:rPr>
        <w:t>88</w:t>
      </w:r>
      <w:r w:rsidR="009E4595">
        <w:rPr>
          <w:rFonts w:ascii="Times New Roman" w:hAnsi="Times New Roman"/>
          <w:b/>
          <w:szCs w:val="24"/>
          <w:highlight w:val="yellow"/>
        </w:rPr>
        <w:t>,906</w:t>
      </w:r>
      <w:r w:rsidR="00ED635A">
        <w:rPr>
          <w:rFonts w:ascii="Times New Roman" w:hAnsi="Times New Roman"/>
          <w:b/>
          <w:szCs w:val="24"/>
          <w:highlight w:val="yellow"/>
        </w:rPr>
        <w:t xml:space="preserve">   </w:t>
      </w:r>
      <w:r w:rsidR="00736FCC" w:rsidRPr="009E3AAA">
        <w:rPr>
          <w:rFonts w:ascii="Times New Roman" w:hAnsi="Times New Roman"/>
          <w:b/>
          <w:szCs w:val="24"/>
          <w:highlight w:val="yellow"/>
        </w:rPr>
        <w:t xml:space="preserve"> </w:t>
      </w:r>
      <w:r w:rsidR="00F914D0">
        <w:rPr>
          <w:rFonts w:ascii="Times New Roman" w:hAnsi="Times New Roman"/>
          <w:b/>
          <w:szCs w:val="24"/>
          <w:highlight w:val="yellow"/>
        </w:rPr>
        <w:t>2</w:t>
      </w:r>
      <w:r w:rsidR="00736FCC" w:rsidRPr="009E3AAA">
        <w:rPr>
          <w:rFonts w:ascii="Times New Roman" w:hAnsi="Times New Roman"/>
          <w:b/>
          <w:szCs w:val="24"/>
          <w:highlight w:val="yellow"/>
        </w:rPr>
        <w:t xml:space="preserve">% </w:t>
      </w:r>
      <w:r w:rsidR="00736FCC" w:rsidRPr="00F334E5">
        <w:rPr>
          <w:rFonts w:ascii="Times New Roman" w:hAnsi="Times New Roman"/>
          <w:b/>
          <w:szCs w:val="24"/>
          <w:highlight w:val="lightGray"/>
        </w:rPr>
        <w:t>of Budget</w:t>
      </w:r>
    </w:p>
    <w:p w:rsidR="00B05B51" w:rsidRDefault="00736FCC" w:rsidP="00B05B51">
      <w:pPr>
        <w:pStyle w:val="BodyText"/>
        <w:rPr>
          <w:rFonts w:ascii="Times New Roman" w:hAnsi="Times New Roman"/>
          <w:color w:val="4F81BD" w:themeColor="accent1"/>
          <w:szCs w:val="24"/>
        </w:rPr>
      </w:pPr>
      <w:r w:rsidRPr="00431FF9">
        <w:rPr>
          <w:rFonts w:ascii="Times New Roman" w:hAnsi="Times New Roman"/>
          <w:szCs w:val="24"/>
        </w:rPr>
        <w:t xml:space="preserve">Supplies will be purchased in the amount of </w:t>
      </w:r>
      <w:r w:rsidR="00111C81" w:rsidRPr="00F705A7">
        <w:rPr>
          <w:rFonts w:ascii="Times New Roman" w:hAnsi="Times New Roman"/>
          <w:b/>
          <w:szCs w:val="24"/>
          <w:highlight w:val="yellow"/>
        </w:rPr>
        <w:t>$</w:t>
      </w:r>
      <w:r w:rsidR="00F914D0">
        <w:rPr>
          <w:rFonts w:ascii="Times New Roman" w:hAnsi="Times New Roman"/>
          <w:b/>
          <w:szCs w:val="24"/>
          <w:highlight w:val="yellow"/>
        </w:rPr>
        <w:t>88</w:t>
      </w:r>
      <w:r w:rsidR="009E4595" w:rsidRPr="009E4595">
        <w:rPr>
          <w:rFonts w:ascii="Times New Roman" w:hAnsi="Times New Roman"/>
          <w:b/>
          <w:szCs w:val="24"/>
          <w:highlight w:val="yellow"/>
        </w:rPr>
        <w:t>,906</w:t>
      </w:r>
      <w:r w:rsidRPr="00431FF9">
        <w:rPr>
          <w:rFonts w:ascii="Times New Roman" w:hAnsi="Times New Roman"/>
          <w:szCs w:val="24"/>
        </w:rPr>
        <w:t xml:space="preserve"> to enable the program to implement vital elements of the HS program. The requested amount will support the attainment of program goals and ensure facilities are developmentally appro</w:t>
      </w:r>
      <w:r w:rsidR="009642C2" w:rsidRPr="00431FF9">
        <w:rPr>
          <w:rFonts w:ascii="Times New Roman" w:hAnsi="Times New Roman"/>
          <w:szCs w:val="24"/>
        </w:rPr>
        <w:t xml:space="preserve">priate and safe for children. </w:t>
      </w:r>
    </w:p>
    <w:p w:rsidR="00EB7A10" w:rsidRPr="00B05B51" w:rsidRDefault="00EB7A10" w:rsidP="00B05B51">
      <w:pPr>
        <w:pStyle w:val="BodyText"/>
        <w:numPr>
          <w:ilvl w:val="0"/>
          <w:numId w:val="4"/>
        </w:numPr>
        <w:rPr>
          <w:rFonts w:ascii="Times New Roman" w:hAnsi="Times New Roman"/>
          <w:color w:val="4F81BD" w:themeColor="accent1"/>
          <w:szCs w:val="24"/>
        </w:rPr>
      </w:pPr>
      <w:r w:rsidRPr="00B05B51">
        <w:rPr>
          <w:rFonts w:ascii="Times New Roman" w:hAnsi="Times New Roman"/>
          <w:b/>
          <w:szCs w:val="24"/>
        </w:rPr>
        <w:t>Program Supplies</w:t>
      </w:r>
      <w:r w:rsidRPr="00B05B51">
        <w:rPr>
          <w:rFonts w:ascii="Times New Roman" w:hAnsi="Times New Roman"/>
          <w:szCs w:val="24"/>
        </w:rPr>
        <w:t xml:space="preserve">:  Supplies to ensure the </w:t>
      </w:r>
      <w:r w:rsidR="009642C2" w:rsidRPr="00B05B51">
        <w:rPr>
          <w:rFonts w:ascii="Times New Roman" w:hAnsi="Times New Roman"/>
          <w:szCs w:val="24"/>
        </w:rPr>
        <w:t>services to children and fami</w:t>
      </w:r>
      <w:r w:rsidR="009642C2" w:rsidRPr="00431FF9">
        <w:rPr>
          <w:rFonts w:ascii="Times New Roman" w:hAnsi="Times New Roman"/>
          <w:szCs w:val="24"/>
        </w:rPr>
        <w:t xml:space="preserve">lies are of a high </w:t>
      </w:r>
      <w:r w:rsidR="009642C2" w:rsidRPr="00944A5D">
        <w:rPr>
          <w:rFonts w:ascii="Times New Roman" w:hAnsi="Times New Roman"/>
          <w:szCs w:val="24"/>
        </w:rPr>
        <w:t xml:space="preserve">quality and to ensure </w:t>
      </w:r>
      <w:r w:rsidRPr="00944A5D">
        <w:rPr>
          <w:rFonts w:ascii="Times New Roman" w:hAnsi="Times New Roman"/>
          <w:szCs w:val="24"/>
        </w:rPr>
        <w:t xml:space="preserve">centers function properly.  </w:t>
      </w:r>
      <w:r w:rsidR="003D25DB" w:rsidRPr="00F705A7">
        <w:rPr>
          <w:rFonts w:ascii="Times New Roman" w:hAnsi="Times New Roman"/>
          <w:b/>
          <w:szCs w:val="24"/>
          <w:highlight w:val="yellow"/>
        </w:rPr>
        <w:t>$2</w:t>
      </w:r>
      <w:r w:rsidR="00B05B51">
        <w:rPr>
          <w:rFonts w:ascii="Times New Roman" w:hAnsi="Times New Roman"/>
          <w:b/>
          <w:szCs w:val="24"/>
          <w:highlight w:val="yellow"/>
        </w:rPr>
        <w:t>6</w:t>
      </w:r>
      <w:r w:rsidR="003D25DB" w:rsidRPr="00F705A7">
        <w:rPr>
          <w:rFonts w:ascii="Times New Roman" w:hAnsi="Times New Roman"/>
          <w:b/>
          <w:szCs w:val="24"/>
          <w:highlight w:val="yellow"/>
        </w:rPr>
        <w:t>,935</w:t>
      </w:r>
      <w:r w:rsidR="00ED635A" w:rsidRPr="00F705A7">
        <w:rPr>
          <w:rFonts w:ascii="Times New Roman" w:hAnsi="Times New Roman"/>
          <w:b/>
          <w:szCs w:val="24"/>
          <w:highlight w:val="yellow"/>
        </w:rPr>
        <w:t>.</w:t>
      </w:r>
    </w:p>
    <w:p w:rsidR="00ED635A" w:rsidRPr="00ED635A" w:rsidRDefault="00736FCC" w:rsidP="00ED635A">
      <w:pPr>
        <w:pStyle w:val="BodyText"/>
        <w:numPr>
          <w:ilvl w:val="0"/>
          <w:numId w:val="4"/>
        </w:numPr>
        <w:rPr>
          <w:rFonts w:ascii="Times New Roman" w:hAnsi="Times New Roman"/>
          <w:szCs w:val="24"/>
        </w:rPr>
      </w:pPr>
      <w:r w:rsidRPr="00ED635A">
        <w:rPr>
          <w:rFonts w:ascii="Times New Roman" w:hAnsi="Times New Roman"/>
          <w:b/>
          <w:szCs w:val="24"/>
        </w:rPr>
        <w:t>Classroom Supplies:</w:t>
      </w:r>
      <w:r w:rsidRPr="00ED635A">
        <w:rPr>
          <w:rFonts w:ascii="Times New Roman" w:hAnsi="Times New Roman"/>
          <w:szCs w:val="24"/>
        </w:rPr>
        <w:t xml:space="preserve"> The Classroom Supply budget is used to ensure the provision of well-stocked classrooms and resource room that provides staff with adequate developmentally appropriate materials including consumables, toys, props and books to fully implement the Creative Curriculum studies in a meaningful way for all students. In addition funds are used to re-stock both consumable materials and classroom materials </w:t>
      </w:r>
      <w:r w:rsidRPr="00ED635A">
        <w:rPr>
          <w:rFonts w:ascii="Times New Roman" w:hAnsi="Times New Roman"/>
          <w:szCs w:val="24"/>
        </w:rPr>
        <w:lastRenderedPageBreak/>
        <w:t xml:space="preserve">and equipment to ensure quality of care and positive educational experiences are provided for all children.  </w:t>
      </w:r>
      <w:r w:rsidR="009E4595">
        <w:rPr>
          <w:rFonts w:ascii="Times New Roman" w:hAnsi="Times New Roman"/>
          <w:b/>
          <w:szCs w:val="24"/>
          <w:highlight w:val="yellow"/>
        </w:rPr>
        <w:t>$5</w:t>
      </w:r>
      <w:r w:rsidR="00B05B51">
        <w:rPr>
          <w:rFonts w:ascii="Times New Roman" w:hAnsi="Times New Roman"/>
          <w:b/>
          <w:szCs w:val="24"/>
          <w:highlight w:val="yellow"/>
        </w:rPr>
        <w:t>4</w:t>
      </w:r>
      <w:r w:rsidR="009E4595" w:rsidRPr="00757A90">
        <w:rPr>
          <w:rFonts w:ascii="Times New Roman" w:hAnsi="Times New Roman"/>
          <w:b/>
          <w:szCs w:val="24"/>
          <w:highlight w:val="yellow"/>
        </w:rPr>
        <w:t>,000</w:t>
      </w:r>
      <w:r w:rsidR="0072249E" w:rsidRPr="00757A90">
        <w:rPr>
          <w:rFonts w:ascii="Times New Roman" w:hAnsi="Times New Roman"/>
          <w:szCs w:val="24"/>
          <w:highlight w:val="yellow"/>
        </w:rPr>
        <w:t>.</w:t>
      </w:r>
      <w:r w:rsidR="0072249E" w:rsidRPr="00ED635A">
        <w:rPr>
          <w:rFonts w:ascii="Times New Roman" w:hAnsi="Times New Roman"/>
          <w:szCs w:val="24"/>
        </w:rPr>
        <w:t xml:space="preserve">  </w:t>
      </w:r>
    </w:p>
    <w:p w:rsidR="00736FCC" w:rsidRPr="00ED635A" w:rsidRDefault="00DC4B6D" w:rsidP="00ED635A">
      <w:pPr>
        <w:pStyle w:val="BodyText"/>
        <w:numPr>
          <w:ilvl w:val="0"/>
          <w:numId w:val="4"/>
        </w:numPr>
        <w:rPr>
          <w:rFonts w:ascii="Times New Roman" w:hAnsi="Times New Roman"/>
          <w:szCs w:val="24"/>
        </w:rPr>
      </w:pPr>
      <w:r w:rsidRPr="00ED635A">
        <w:rPr>
          <w:rFonts w:ascii="Times New Roman" w:hAnsi="Times New Roman"/>
          <w:b/>
          <w:szCs w:val="24"/>
        </w:rPr>
        <w:t>Medical</w:t>
      </w:r>
      <w:r w:rsidR="00736FCC" w:rsidRPr="00ED635A">
        <w:rPr>
          <w:rFonts w:ascii="Times New Roman" w:hAnsi="Times New Roman"/>
          <w:b/>
          <w:szCs w:val="24"/>
        </w:rPr>
        <w:t xml:space="preserve"> and </w:t>
      </w:r>
      <w:r w:rsidR="00803DC8" w:rsidRPr="00ED635A">
        <w:rPr>
          <w:rFonts w:ascii="Times New Roman" w:hAnsi="Times New Roman"/>
          <w:b/>
          <w:szCs w:val="24"/>
        </w:rPr>
        <w:t>D</w:t>
      </w:r>
      <w:r w:rsidR="00736FCC" w:rsidRPr="00ED635A">
        <w:rPr>
          <w:rFonts w:ascii="Times New Roman" w:hAnsi="Times New Roman"/>
          <w:b/>
          <w:szCs w:val="24"/>
        </w:rPr>
        <w:t xml:space="preserve">ental </w:t>
      </w:r>
      <w:r w:rsidR="00803DC8" w:rsidRPr="00ED635A">
        <w:rPr>
          <w:rFonts w:ascii="Times New Roman" w:hAnsi="Times New Roman"/>
          <w:b/>
          <w:szCs w:val="24"/>
        </w:rPr>
        <w:t>S</w:t>
      </w:r>
      <w:r w:rsidR="00736FCC" w:rsidRPr="00ED635A">
        <w:rPr>
          <w:rFonts w:ascii="Times New Roman" w:hAnsi="Times New Roman"/>
          <w:b/>
          <w:szCs w:val="24"/>
        </w:rPr>
        <w:t>upplies</w:t>
      </w:r>
      <w:r w:rsidR="00736FCC" w:rsidRPr="00ED635A">
        <w:rPr>
          <w:rFonts w:ascii="Times New Roman" w:hAnsi="Times New Roman"/>
          <w:szCs w:val="24"/>
        </w:rPr>
        <w:t xml:space="preserve"> budget </w:t>
      </w:r>
      <w:r w:rsidRPr="00ED635A">
        <w:rPr>
          <w:rFonts w:ascii="Times New Roman" w:hAnsi="Times New Roman"/>
          <w:szCs w:val="24"/>
        </w:rPr>
        <w:t>is used to purchase</w:t>
      </w:r>
      <w:r w:rsidR="00736FCC" w:rsidRPr="00ED635A">
        <w:rPr>
          <w:rFonts w:ascii="Times New Roman" w:hAnsi="Times New Roman"/>
          <w:szCs w:val="24"/>
        </w:rPr>
        <w:t xml:space="preserve"> toothbrushes, Band-Aids, first aid supplies, and other materials to ensure child</w:t>
      </w:r>
      <w:r w:rsidR="00F331B0" w:rsidRPr="00ED635A">
        <w:rPr>
          <w:rFonts w:ascii="Times New Roman" w:hAnsi="Times New Roman"/>
          <w:szCs w:val="24"/>
        </w:rPr>
        <w:t>ren</w:t>
      </w:r>
      <w:r w:rsidR="00736FCC" w:rsidRPr="00ED635A">
        <w:rPr>
          <w:rFonts w:ascii="Times New Roman" w:hAnsi="Times New Roman"/>
          <w:szCs w:val="24"/>
        </w:rPr>
        <w:t xml:space="preserve">’s needs are met.  Funding for disabilities and mental health supplies is provided through the Community Human Service Partnership (CHSP) grant and includes adaptive equipment and materials to support child problem solving and nurturing environments. </w:t>
      </w:r>
      <w:r w:rsidR="00736FCC" w:rsidRPr="00F705A7">
        <w:rPr>
          <w:rFonts w:ascii="Times New Roman" w:hAnsi="Times New Roman"/>
          <w:b/>
          <w:szCs w:val="24"/>
          <w:highlight w:val="yellow"/>
        </w:rPr>
        <w:t>$</w:t>
      </w:r>
      <w:r w:rsidR="00ED635A" w:rsidRPr="00F705A7">
        <w:rPr>
          <w:rFonts w:ascii="Times New Roman" w:hAnsi="Times New Roman"/>
          <w:b/>
          <w:szCs w:val="24"/>
          <w:highlight w:val="yellow"/>
        </w:rPr>
        <w:t>500</w:t>
      </w:r>
    </w:p>
    <w:p w:rsidR="00736FCC" w:rsidRPr="00F705A7" w:rsidRDefault="00736FCC" w:rsidP="00BE3739">
      <w:pPr>
        <w:pStyle w:val="BodyText"/>
        <w:numPr>
          <w:ilvl w:val="0"/>
          <w:numId w:val="4"/>
        </w:numPr>
        <w:rPr>
          <w:rFonts w:ascii="Times New Roman" w:hAnsi="Times New Roman"/>
          <w:b/>
          <w:szCs w:val="24"/>
        </w:rPr>
      </w:pPr>
      <w:r w:rsidRPr="00431FF9">
        <w:rPr>
          <w:rFonts w:ascii="Times New Roman" w:hAnsi="Times New Roman"/>
          <w:b/>
          <w:szCs w:val="24"/>
        </w:rPr>
        <w:t>Parent Activity Supplies</w:t>
      </w:r>
      <w:r w:rsidRPr="00431FF9">
        <w:rPr>
          <w:rFonts w:ascii="Times New Roman" w:hAnsi="Times New Roman"/>
          <w:szCs w:val="24"/>
        </w:rPr>
        <w:t xml:space="preserve">: Funding </w:t>
      </w:r>
      <w:r w:rsidR="00DC4B6D" w:rsidRPr="00431FF9">
        <w:rPr>
          <w:rFonts w:ascii="Times New Roman" w:hAnsi="Times New Roman"/>
          <w:szCs w:val="24"/>
        </w:rPr>
        <w:t xml:space="preserve">of supplies </w:t>
      </w:r>
      <w:r w:rsidRPr="00431FF9">
        <w:rPr>
          <w:rFonts w:ascii="Times New Roman" w:hAnsi="Times New Roman"/>
          <w:szCs w:val="24"/>
        </w:rPr>
        <w:t>for these activities and events are covered through from HS and non-federal share funds from the CHSP grant.  Supplies include parent education materials such as books, handouts, and other small items that will support activities such as Policy Council meetings</w:t>
      </w:r>
      <w:r w:rsidR="00EB7A10" w:rsidRPr="00431FF9">
        <w:rPr>
          <w:rFonts w:ascii="Times New Roman" w:hAnsi="Times New Roman"/>
          <w:szCs w:val="24"/>
        </w:rPr>
        <w:t xml:space="preserve"> and male engagement activities</w:t>
      </w:r>
      <w:r w:rsidRPr="00431FF9">
        <w:rPr>
          <w:rFonts w:ascii="Times New Roman" w:hAnsi="Times New Roman"/>
          <w:szCs w:val="24"/>
        </w:rPr>
        <w:t>. Parent meetings and workshop topics will be decided by parents at the beginning of the year and will be based on the needs of enrolled families and the community.  Parent education, activity supplies, and family literacy materials are also supported by this account and include: educational materials such as books and other family partnership supplies such as materials for use during male engagement events.</w:t>
      </w:r>
      <w:r w:rsidR="00CE1FE3" w:rsidRPr="00431FF9">
        <w:rPr>
          <w:rFonts w:ascii="Times New Roman" w:hAnsi="Times New Roman"/>
          <w:szCs w:val="24"/>
        </w:rPr>
        <w:t xml:space="preserve"> Non-federal share dollars from CHSP will also be used to support parent activities.</w:t>
      </w:r>
      <w:r w:rsidRPr="00431FF9">
        <w:rPr>
          <w:rFonts w:ascii="Times New Roman" w:hAnsi="Times New Roman"/>
          <w:szCs w:val="24"/>
        </w:rPr>
        <w:t xml:space="preserve"> </w:t>
      </w:r>
      <w:r w:rsidR="00DC4B6D" w:rsidRPr="00431FF9">
        <w:rPr>
          <w:rFonts w:ascii="Times New Roman" w:hAnsi="Times New Roman"/>
          <w:szCs w:val="24"/>
        </w:rPr>
        <w:t xml:space="preserve"> </w:t>
      </w:r>
      <w:r w:rsidR="00701BF8" w:rsidRPr="00F705A7">
        <w:rPr>
          <w:rFonts w:ascii="Times New Roman" w:hAnsi="Times New Roman"/>
          <w:b/>
          <w:szCs w:val="24"/>
          <w:highlight w:val="yellow"/>
        </w:rPr>
        <w:t>$1,200</w:t>
      </w:r>
    </w:p>
    <w:p w:rsidR="003D25DB" w:rsidRDefault="003D25DB" w:rsidP="00BE3739">
      <w:pPr>
        <w:pStyle w:val="BodyText"/>
        <w:numPr>
          <w:ilvl w:val="0"/>
          <w:numId w:val="4"/>
        </w:numPr>
        <w:rPr>
          <w:rFonts w:ascii="Times New Roman" w:hAnsi="Times New Roman"/>
          <w:szCs w:val="24"/>
        </w:rPr>
      </w:pPr>
      <w:r>
        <w:rPr>
          <w:rFonts w:ascii="Times New Roman" w:hAnsi="Times New Roman"/>
          <w:b/>
          <w:szCs w:val="24"/>
        </w:rPr>
        <w:t>Kitchen Supplies</w:t>
      </w:r>
      <w:r w:rsidRPr="003D25DB">
        <w:rPr>
          <w:rFonts w:ascii="Times New Roman" w:hAnsi="Times New Roman"/>
          <w:szCs w:val="24"/>
        </w:rPr>
        <w:t>:</w:t>
      </w:r>
      <w:r>
        <w:rPr>
          <w:rFonts w:ascii="Times New Roman" w:hAnsi="Times New Roman"/>
          <w:szCs w:val="24"/>
        </w:rPr>
        <w:t xml:space="preserve">  Supplies are needed for the kitchen to enable the program to serve a nutritious breakfast, lunch and afternoon snack daily.  This includes cookware, small and large appliances, utensils and other items necessary to run a commercial kitchen as required by the state guidelines. </w:t>
      </w:r>
      <w:r w:rsidR="00B05B51">
        <w:rPr>
          <w:rFonts w:ascii="Times New Roman" w:hAnsi="Times New Roman"/>
          <w:b/>
          <w:szCs w:val="24"/>
          <w:highlight w:val="yellow"/>
        </w:rPr>
        <w:t>$6</w:t>
      </w:r>
      <w:r w:rsidR="009E4595">
        <w:rPr>
          <w:rFonts w:ascii="Times New Roman" w:hAnsi="Times New Roman"/>
          <w:b/>
          <w:szCs w:val="24"/>
          <w:highlight w:val="yellow"/>
        </w:rPr>
        <w:t>,27</w:t>
      </w:r>
      <w:r w:rsidRPr="00F705A7">
        <w:rPr>
          <w:rFonts w:ascii="Times New Roman" w:hAnsi="Times New Roman"/>
          <w:b/>
          <w:szCs w:val="24"/>
          <w:highlight w:val="yellow"/>
        </w:rPr>
        <w:t>1</w:t>
      </w:r>
    </w:p>
    <w:p w:rsidR="00DB643D" w:rsidRPr="00431FF9" w:rsidRDefault="00DB643D" w:rsidP="005F4E41">
      <w:pPr>
        <w:pStyle w:val="BodyText"/>
        <w:ind w:left="720"/>
        <w:rPr>
          <w:rFonts w:ascii="Times New Roman" w:hAnsi="Times New Roman"/>
          <w:szCs w:val="24"/>
        </w:rPr>
      </w:pPr>
    </w:p>
    <w:p w:rsidR="00736FCC" w:rsidRPr="00B05B51" w:rsidRDefault="003D25DB" w:rsidP="00BE3739">
      <w:pPr>
        <w:pStyle w:val="BodyText"/>
        <w:rPr>
          <w:rFonts w:ascii="Times New Roman" w:hAnsi="Times New Roman"/>
          <w:b/>
          <w:szCs w:val="24"/>
          <w:highlight w:val="yellow"/>
        </w:rPr>
      </w:pPr>
      <w:r>
        <w:rPr>
          <w:rFonts w:ascii="Times New Roman" w:hAnsi="Times New Roman"/>
          <w:b/>
          <w:szCs w:val="24"/>
          <w:highlight w:val="lightGray"/>
        </w:rPr>
        <w:t>***</w:t>
      </w:r>
      <w:r w:rsidR="00736FCC" w:rsidRPr="00F93FB4">
        <w:rPr>
          <w:rFonts w:ascii="Times New Roman" w:hAnsi="Times New Roman"/>
          <w:b/>
          <w:szCs w:val="24"/>
          <w:highlight w:val="lightGray"/>
        </w:rPr>
        <w:t xml:space="preserve">Contractual </w:t>
      </w:r>
      <w:r w:rsidR="009642C2" w:rsidRPr="00F93FB4">
        <w:rPr>
          <w:rFonts w:ascii="Times New Roman" w:hAnsi="Times New Roman"/>
          <w:b/>
          <w:szCs w:val="24"/>
          <w:highlight w:val="lightGray"/>
        </w:rPr>
        <w:t xml:space="preserve">– </w:t>
      </w:r>
      <w:r w:rsidR="00E47702" w:rsidRPr="0059669E">
        <w:rPr>
          <w:rFonts w:ascii="Times New Roman" w:hAnsi="Times New Roman"/>
          <w:b/>
          <w:szCs w:val="24"/>
          <w:highlight w:val="yellow"/>
        </w:rPr>
        <w:t>$</w:t>
      </w:r>
      <w:r w:rsidR="00B05B51">
        <w:rPr>
          <w:rFonts w:ascii="Times New Roman" w:hAnsi="Times New Roman"/>
          <w:b/>
          <w:szCs w:val="24"/>
          <w:highlight w:val="yellow"/>
        </w:rPr>
        <w:t>190,813</w:t>
      </w:r>
      <w:r w:rsidR="00A3080E" w:rsidRPr="0059669E">
        <w:rPr>
          <w:rFonts w:ascii="Times New Roman" w:hAnsi="Times New Roman"/>
          <w:b/>
          <w:szCs w:val="24"/>
          <w:highlight w:val="yellow"/>
        </w:rPr>
        <w:t xml:space="preserve">  </w:t>
      </w:r>
      <w:r w:rsidR="00E47702" w:rsidRPr="0059669E">
        <w:rPr>
          <w:rFonts w:ascii="Times New Roman" w:hAnsi="Times New Roman"/>
          <w:b/>
          <w:szCs w:val="24"/>
          <w:highlight w:val="yellow"/>
        </w:rPr>
        <w:t xml:space="preserve"> </w:t>
      </w:r>
      <w:r w:rsidR="009E4595">
        <w:rPr>
          <w:rFonts w:ascii="Times New Roman" w:hAnsi="Times New Roman"/>
          <w:b/>
          <w:szCs w:val="24"/>
          <w:highlight w:val="yellow"/>
        </w:rPr>
        <w:t xml:space="preserve">  </w:t>
      </w:r>
      <w:r w:rsidR="00F914D0">
        <w:rPr>
          <w:rFonts w:ascii="Times New Roman" w:hAnsi="Times New Roman"/>
          <w:b/>
          <w:szCs w:val="24"/>
          <w:highlight w:val="yellow"/>
        </w:rPr>
        <w:t>5</w:t>
      </w:r>
      <w:r w:rsidR="00E47702" w:rsidRPr="00F93FB4">
        <w:rPr>
          <w:rFonts w:ascii="Times New Roman" w:hAnsi="Times New Roman"/>
          <w:b/>
          <w:szCs w:val="24"/>
          <w:highlight w:val="lightGray"/>
        </w:rPr>
        <w:t xml:space="preserve">% </w:t>
      </w:r>
      <w:r w:rsidR="00736FCC" w:rsidRPr="00F93FB4">
        <w:rPr>
          <w:rFonts w:ascii="Times New Roman" w:hAnsi="Times New Roman"/>
          <w:b/>
          <w:szCs w:val="24"/>
          <w:highlight w:val="lightGray"/>
        </w:rPr>
        <w:t>of Budget</w:t>
      </w:r>
    </w:p>
    <w:p w:rsidR="00DB643D" w:rsidRDefault="00736FCC" w:rsidP="0059669E">
      <w:pPr>
        <w:pStyle w:val="BodyText"/>
        <w:numPr>
          <w:ilvl w:val="0"/>
          <w:numId w:val="4"/>
        </w:numPr>
        <w:rPr>
          <w:rFonts w:ascii="Times New Roman" w:hAnsi="Times New Roman"/>
          <w:szCs w:val="24"/>
        </w:rPr>
      </w:pPr>
      <w:r w:rsidRPr="00060127">
        <w:rPr>
          <w:rFonts w:ascii="Times New Roman" w:hAnsi="Times New Roman"/>
          <w:b/>
          <w:szCs w:val="24"/>
        </w:rPr>
        <w:t xml:space="preserve">Administrative </w:t>
      </w:r>
      <w:r w:rsidRPr="00B05B51">
        <w:rPr>
          <w:rFonts w:ascii="Times New Roman" w:hAnsi="Times New Roman"/>
          <w:b/>
          <w:szCs w:val="24"/>
        </w:rPr>
        <w:t>services</w:t>
      </w:r>
      <w:r w:rsidR="0059669E" w:rsidRPr="00B05B51">
        <w:rPr>
          <w:rFonts w:ascii="Times New Roman" w:hAnsi="Times New Roman"/>
          <w:b/>
          <w:szCs w:val="24"/>
        </w:rPr>
        <w:t>:</w:t>
      </w:r>
      <w:r w:rsidRPr="00B05B51">
        <w:rPr>
          <w:rFonts w:ascii="Times New Roman" w:hAnsi="Times New Roman"/>
          <w:szCs w:val="24"/>
        </w:rPr>
        <w:t xml:space="preserve"> </w:t>
      </w:r>
      <w:r w:rsidR="0059669E" w:rsidRPr="00B05B51">
        <w:rPr>
          <w:rFonts w:ascii="Times New Roman" w:hAnsi="Times New Roman"/>
          <w:b/>
          <w:szCs w:val="24"/>
        </w:rPr>
        <w:t>$15,000</w:t>
      </w:r>
      <w:r w:rsidR="0059669E" w:rsidRPr="00B05B51">
        <w:rPr>
          <w:rFonts w:ascii="Times New Roman" w:hAnsi="Times New Roman"/>
          <w:szCs w:val="24"/>
        </w:rPr>
        <w:t xml:space="preserve"> is budgeted</w:t>
      </w:r>
      <w:r w:rsidR="0059669E" w:rsidRPr="00431FF9">
        <w:rPr>
          <w:rFonts w:ascii="Times New Roman" w:hAnsi="Times New Roman"/>
          <w:szCs w:val="24"/>
        </w:rPr>
        <w:t xml:space="preserve"> for </w:t>
      </w:r>
      <w:r w:rsidR="0059669E">
        <w:rPr>
          <w:rFonts w:ascii="Times New Roman" w:hAnsi="Times New Roman"/>
          <w:szCs w:val="24"/>
        </w:rPr>
        <w:t xml:space="preserve">administrative services </w:t>
      </w:r>
      <w:r w:rsidRPr="00431FF9">
        <w:rPr>
          <w:rFonts w:ascii="Times New Roman" w:hAnsi="Times New Roman"/>
          <w:szCs w:val="24"/>
        </w:rPr>
        <w:t>(legal services</w:t>
      </w:r>
      <w:r w:rsidR="00D845F4" w:rsidRPr="00431FF9">
        <w:rPr>
          <w:rFonts w:ascii="Times New Roman" w:hAnsi="Times New Roman"/>
          <w:szCs w:val="24"/>
        </w:rPr>
        <w:t>,</w:t>
      </w:r>
      <w:r w:rsidR="009642C2" w:rsidRPr="00431FF9">
        <w:rPr>
          <w:rFonts w:ascii="Times New Roman" w:hAnsi="Times New Roman"/>
          <w:szCs w:val="24"/>
        </w:rPr>
        <w:t xml:space="preserve"> </w:t>
      </w:r>
      <w:r w:rsidRPr="00431FF9">
        <w:rPr>
          <w:rFonts w:ascii="Times New Roman" w:hAnsi="Times New Roman"/>
          <w:szCs w:val="24"/>
        </w:rPr>
        <w:t>audit</w:t>
      </w:r>
      <w:r w:rsidR="00D845F4" w:rsidRPr="00431FF9">
        <w:rPr>
          <w:rFonts w:ascii="Times New Roman" w:hAnsi="Times New Roman"/>
          <w:szCs w:val="24"/>
        </w:rPr>
        <w:t>ed financial statements and OMB reports</w:t>
      </w:r>
      <w:r w:rsidRPr="00431FF9">
        <w:rPr>
          <w:rFonts w:ascii="Times New Roman" w:hAnsi="Times New Roman"/>
          <w:szCs w:val="24"/>
        </w:rPr>
        <w:t xml:space="preserve">) </w:t>
      </w:r>
    </w:p>
    <w:p w:rsidR="0059669E" w:rsidRPr="00B05B51" w:rsidRDefault="0059669E" w:rsidP="0059669E">
      <w:pPr>
        <w:pStyle w:val="BodyText"/>
        <w:numPr>
          <w:ilvl w:val="0"/>
          <w:numId w:val="4"/>
        </w:numPr>
        <w:rPr>
          <w:rFonts w:ascii="Times New Roman" w:hAnsi="Times New Roman"/>
          <w:szCs w:val="24"/>
        </w:rPr>
      </w:pPr>
      <w:r w:rsidRPr="005F4E41">
        <w:rPr>
          <w:rFonts w:ascii="Times New Roman" w:hAnsi="Times New Roman"/>
          <w:b/>
          <w:szCs w:val="24"/>
        </w:rPr>
        <w:t>Mental Health and Disabilities Services:</w:t>
      </w:r>
      <w:r w:rsidRPr="005F4E41">
        <w:rPr>
          <w:rFonts w:ascii="Times New Roman" w:hAnsi="Times New Roman"/>
          <w:szCs w:val="24"/>
        </w:rPr>
        <w:t xml:space="preserve"> The program </w:t>
      </w:r>
      <w:r>
        <w:rPr>
          <w:rFonts w:ascii="Times New Roman" w:hAnsi="Times New Roman"/>
          <w:szCs w:val="24"/>
        </w:rPr>
        <w:t xml:space="preserve">uses licensed consultants </w:t>
      </w:r>
      <w:r w:rsidRPr="005F4E41">
        <w:rPr>
          <w:rFonts w:ascii="Times New Roman" w:hAnsi="Times New Roman"/>
          <w:szCs w:val="24"/>
        </w:rPr>
        <w:t>to support classroom staff by observing children and making recommendations, and by meeting with families and making referrals to other agencies.  The consultant</w:t>
      </w:r>
      <w:r>
        <w:rPr>
          <w:rFonts w:ascii="Times New Roman" w:hAnsi="Times New Roman"/>
          <w:szCs w:val="24"/>
        </w:rPr>
        <w:t xml:space="preserve">s </w:t>
      </w:r>
      <w:r w:rsidRPr="005F4E41">
        <w:rPr>
          <w:rFonts w:ascii="Times New Roman" w:hAnsi="Times New Roman"/>
          <w:szCs w:val="24"/>
        </w:rPr>
        <w:t>charge the</w:t>
      </w:r>
      <w:r>
        <w:rPr>
          <w:rFonts w:ascii="Times New Roman" w:hAnsi="Times New Roman"/>
          <w:szCs w:val="24"/>
        </w:rPr>
        <w:t xml:space="preserve"> program a reduced rate and</w:t>
      </w:r>
      <w:r w:rsidRPr="005F4E41">
        <w:rPr>
          <w:rFonts w:ascii="Times New Roman" w:hAnsi="Times New Roman"/>
          <w:szCs w:val="24"/>
        </w:rPr>
        <w:t xml:space="preserve"> in-kind the remainder of </w:t>
      </w:r>
      <w:r>
        <w:rPr>
          <w:rFonts w:ascii="Times New Roman" w:hAnsi="Times New Roman"/>
          <w:szCs w:val="24"/>
        </w:rPr>
        <w:t>t</w:t>
      </w:r>
      <w:r w:rsidRPr="005F4E41">
        <w:rPr>
          <w:rFonts w:ascii="Times New Roman" w:hAnsi="Times New Roman"/>
          <w:szCs w:val="24"/>
        </w:rPr>
        <w:t>he</w:t>
      </w:r>
      <w:r>
        <w:rPr>
          <w:rFonts w:ascii="Times New Roman" w:hAnsi="Times New Roman"/>
          <w:szCs w:val="24"/>
        </w:rPr>
        <w:t xml:space="preserve"> usual rate. Costs are</w:t>
      </w:r>
      <w:r w:rsidRPr="005F4E41">
        <w:rPr>
          <w:rFonts w:ascii="Times New Roman" w:hAnsi="Times New Roman"/>
          <w:szCs w:val="24"/>
        </w:rPr>
        <w:t xml:space="preserve"> allocated among classroom observation family consultation and therapeutic services.  </w:t>
      </w:r>
      <w:r w:rsidRPr="00431FF9">
        <w:rPr>
          <w:rFonts w:ascii="Times New Roman" w:hAnsi="Times New Roman"/>
          <w:szCs w:val="24"/>
        </w:rPr>
        <w:t xml:space="preserve">The program partners with TITUS Sports Academy to implement a program to support obesity prevention; a serious nationwide issue.  In </w:t>
      </w:r>
      <w:r w:rsidRPr="00B44445">
        <w:rPr>
          <w:rFonts w:ascii="Times New Roman" w:hAnsi="Times New Roman"/>
          <w:szCs w:val="24"/>
        </w:rPr>
        <w:t>addition to the budgeted amount</w:t>
      </w:r>
      <w:r>
        <w:rPr>
          <w:rFonts w:ascii="Times New Roman" w:hAnsi="Times New Roman"/>
          <w:szCs w:val="24"/>
        </w:rPr>
        <w:t>,</w:t>
      </w:r>
      <w:r w:rsidRPr="00B44445">
        <w:rPr>
          <w:rFonts w:ascii="Times New Roman" w:hAnsi="Times New Roman"/>
          <w:szCs w:val="24"/>
        </w:rPr>
        <w:t xml:space="preserve"> in-kind services provided are by this partner. </w:t>
      </w:r>
      <w:r w:rsidRPr="00766EC7">
        <w:rPr>
          <w:rFonts w:ascii="Times New Roman" w:hAnsi="Times New Roman"/>
          <w:szCs w:val="24"/>
        </w:rPr>
        <w:t xml:space="preserve">The program contracts with Gaye Harper for Speech and Language Services at a rate </w:t>
      </w:r>
      <w:r w:rsidRPr="00B05B51">
        <w:rPr>
          <w:rFonts w:ascii="Times New Roman" w:hAnsi="Times New Roman"/>
          <w:szCs w:val="24"/>
        </w:rPr>
        <w:t>of $48 per</w:t>
      </w:r>
      <w:r w:rsidRPr="00766EC7">
        <w:rPr>
          <w:rFonts w:ascii="Times New Roman" w:hAnsi="Times New Roman"/>
          <w:szCs w:val="24"/>
        </w:rPr>
        <w:t xml:space="preserve"> hour to cover therapy deemed necessary by the program but covered by the Local Education Agency (LEA).  Ms. Harper </w:t>
      </w:r>
      <w:r w:rsidRPr="00B05B51">
        <w:rPr>
          <w:rFonts w:ascii="Times New Roman" w:hAnsi="Times New Roman"/>
          <w:szCs w:val="24"/>
        </w:rPr>
        <w:t>donates 10% of her</w:t>
      </w:r>
      <w:r w:rsidRPr="00766EC7">
        <w:rPr>
          <w:rFonts w:ascii="Times New Roman" w:hAnsi="Times New Roman"/>
          <w:szCs w:val="24"/>
        </w:rPr>
        <w:t xml:space="preserve"> services as</w:t>
      </w:r>
      <w:r>
        <w:rPr>
          <w:rFonts w:ascii="Times New Roman" w:hAnsi="Times New Roman"/>
          <w:szCs w:val="24"/>
        </w:rPr>
        <w:t xml:space="preserve"> in-kind donation.</w:t>
      </w:r>
      <w:r w:rsidRPr="00766EC7">
        <w:rPr>
          <w:rFonts w:ascii="Times New Roman" w:hAnsi="Times New Roman"/>
          <w:szCs w:val="24"/>
        </w:rPr>
        <w:t xml:space="preserve">  Services not covered by the LEA are funded through CHSP </w:t>
      </w:r>
      <w:r w:rsidR="00F705A7">
        <w:rPr>
          <w:rFonts w:ascii="Times New Roman" w:hAnsi="Times New Roman"/>
          <w:szCs w:val="24"/>
        </w:rPr>
        <w:t>($9,874</w:t>
      </w:r>
      <w:r>
        <w:rPr>
          <w:rFonts w:ascii="Times New Roman" w:hAnsi="Times New Roman"/>
          <w:szCs w:val="24"/>
        </w:rPr>
        <w:t xml:space="preserve">) </w:t>
      </w:r>
      <w:r w:rsidRPr="00766EC7">
        <w:rPr>
          <w:rFonts w:ascii="Times New Roman" w:hAnsi="Times New Roman"/>
          <w:szCs w:val="24"/>
        </w:rPr>
        <w:t>in Leon</w:t>
      </w:r>
      <w:r w:rsidR="00F705A7">
        <w:rPr>
          <w:rFonts w:ascii="Times New Roman" w:hAnsi="Times New Roman"/>
          <w:szCs w:val="24"/>
        </w:rPr>
        <w:t xml:space="preserve"> County</w:t>
      </w:r>
      <w:r w:rsidRPr="00B05B51">
        <w:rPr>
          <w:rFonts w:ascii="Times New Roman" w:hAnsi="Times New Roman"/>
          <w:szCs w:val="24"/>
        </w:rPr>
        <w:t xml:space="preserve">.  </w:t>
      </w:r>
      <w:r w:rsidR="00B05B51" w:rsidRPr="00B05B51">
        <w:rPr>
          <w:rFonts w:ascii="Times New Roman" w:hAnsi="Times New Roman"/>
          <w:b/>
          <w:szCs w:val="24"/>
        </w:rPr>
        <w:t>$175,813</w:t>
      </w:r>
      <w:r w:rsidR="009E4595" w:rsidRPr="00B05B51">
        <w:rPr>
          <w:rFonts w:ascii="Times New Roman" w:hAnsi="Times New Roman"/>
          <w:szCs w:val="24"/>
        </w:rPr>
        <w:t>.</w:t>
      </w:r>
    </w:p>
    <w:p w:rsidR="0059669E" w:rsidRPr="0059669E" w:rsidRDefault="0059669E" w:rsidP="0059669E">
      <w:pPr>
        <w:pStyle w:val="BodyText"/>
        <w:ind w:left="720"/>
        <w:rPr>
          <w:rFonts w:ascii="Times New Roman" w:hAnsi="Times New Roman"/>
          <w:szCs w:val="24"/>
        </w:rPr>
      </w:pPr>
    </w:p>
    <w:p w:rsidR="00736FCC" w:rsidRPr="00CA0961" w:rsidRDefault="00736FCC" w:rsidP="00BE3739">
      <w:pPr>
        <w:pStyle w:val="BodyText"/>
        <w:rPr>
          <w:rFonts w:ascii="Times New Roman" w:hAnsi="Times New Roman"/>
          <w:b/>
          <w:szCs w:val="24"/>
          <w:highlight w:val="lightGray"/>
        </w:rPr>
      </w:pPr>
      <w:r w:rsidRPr="00CA0961">
        <w:rPr>
          <w:rFonts w:ascii="Times New Roman" w:hAnsi="Times New Roman"/>
          <w:b/>
          <w:szCs w:val="24"/>
          <w:highlight w:val="lightGray"/>
        </w:rPr>
        <w:t>Construction: N/A</w:t>
      </w:r>
    </w:p>
    <w:p w:rsidR="00DB643D" w:rsidRPr="00DE34F6" w:rsidRDefault="00DB643D" w:rsidP="00BE3739">
      <w:pPr>
        <w:pStyle w:val="BodyText"/>
        <w:rPr>
          <w:rFonts w:ascii="Times New Roman" w:hAnsi="Times New Roman"/>
          <w:szCs w:val="24"/>
        </w:rPr>
      </w:pPr>
    </w:p>
    <w:p w:rsidR="00736FCC" w:rsidRPr="00CA0961" w:rsidRDefault="00736FCC" w:rsidP="00BE3739">
      <w:pPr>
        <w:pStyle w:val="BodyText"/>
        <w:rPr>
          <w:rFonts w:ascii="Times New Roman" w:hAnsi="Times New Roman"/>
          <w:b/>
          <w:szCs w:val="24"/>
          <w:highlight w:val="lightGray"/>
        </w:rPr>
      </w:pPr>
      <w:r w:rsidRPr="00CA0961">
        <w:rPr>
          <w:rFonts w:ascii="Times New Roman" w:hAnsi="Times New Roman"/>
          <w:b/>
          <w:szCs w:val="24"/>
          <w:highlight w:val="lightGray"/>
        </w:rPr>
        <w:t xml:space="preserve">Other – $ </w:t>
      </w:r>
      <w:r w:rsidR="007C6F11">
        <w:rPr>
          <w:rFonts w:ascii="Times New Roman" w:hAnsi="Times New Roman"/>
          <w:b/>
          <w:szCs w:val="24"/>
          <w:highlight w:val="yellow"/>
        </w:rPr>
        <w:t>636,984</w:t>
      </w:r>
      <w:r w:rsidR="002A7F3D">
        <w:rPr>
          <w:rFonts w:ascii="Times New Roman" w:hAnsi="Times New Roman"/>
          <w:b/>
          <w:szCs w:val="24"/>
          <w:highlight w:val="yellow"/>
        </w:rPr>
        <w:t xml:space="preserve"> </w:t>
      </w:r>
      <w:r w:rsidR="00766EC7" w:rsidRPr="007F7106">
        <w:rPr>
          <w:rFonts w:ascii="Times New Roman" w:hAnsi="Times New Roman"/>
          <w:b/>
          <w:szCs w:val="24"/>
          <w:highlight w:val="yellow"/>
        </w:rPr>
        <w:t xml:space="preserve"> </w:t>
      </w:r>
      <w:r w:rsidRPr="007F7106">
        <w:rPr>
          <w:rFonts w:ascii="Times New Roman" w:hAnsi="Times New Roman"/>
          <w:b/>
          <w:szCs w:val="24"/>
          <w:highlight w:val="yellow"/>
        </w:rPr>
        <w:t xml:space="preserve"> </w:t>
      </w:r>
      <w:r w:rsidR="007C6F11">
        <w:rPr>
          <w:rFonts w:ascii="Times New Roman" w:hAnsi="Times New Roman"/>
          <w:b/>
          <w:szCs w:val="24"/>
          <w:highlight w:val="yellow"/>
        </w:rPr>
        <w:t>18</w:t>
      </w:r>
      <w:r w:rsidRPr="00CA0961">
        <w:rPr>
          <w:rFonts w:ascii="Times New Roman" w:hAnsi="Times New Roman"/>
          <w:b/>
          <w:szCs w:val="24"/>
          <w:highlight w:val="lightGray"/>
        </w:rPr>
        <w:t>% of Budget</w:t>
      </w:r>
    </w:p>
    <w:p w:rsidR="00736FCC" w:rsidRPr="00A73D14" w:rsidRDefault="00736FCC" w:rsidP="00BE3739">
      <w:pPr>
        <w:pStyle w:val="BodyText"/>
        <w:numPr>
          <w:ilvl w:val="0"/>
          <w:numId w:val="2"/>
        </w:numPr>
        <w:rPr>
          <w:rFonts w:ascii="Times New Roman" w:hAnsi="Times New Roman"/>
          <w:szCs w:val="24"/>
        </w:rPr>
      </w:pPr>
      <w:r w:rsidRPr="00A73D14">
        <w:rPr>
          <w:rFonts w:ascii="Times New Roman" w:hAnsi="Times New Roman"/>
          <w:b/>
          <w:szCs w:val="24"/>
        </w:rPr>
        <w:t>Telephone</w:t>
      </w:r>
      <w:r w:rsidR="00EB7A10" w:rsidRPr="00A73D14">
        <w:rPr>
          <w:rFonts w:ascii="Times New Roman" w:hAnsi="Times New Roman"/>
          <w:b/>
          <w:szCs w:val="24"/>
        </w:rPr>
        <w:t>/Internet/Utilities</w:t>
      </w:r>
      <w:r w:rsidRPr="00A73D14">
        <w:rPr>
          <w:rFonts w:ascii="Times New Roman" w:hAnsi="Times New Roman"/>
          <w:b/>
          <w:szCs w:val="24"/>
        </w:rPr>
        <w:t>:</w:t>
      </w:r>
      <w:r w:rsidRPr="00A73D14">
        <w:rPr>
          <w:rFonts w:ascii="Times New Roman" w:hAnsi="Times New Roman"/>
          <w:szCs w:val="24"/>
        </w:rPr>
        <w:t xml:space="preserve"> The</w:t>
      </w:r>
      <w:r w:rsidRPr="00A73D14">
        <w:rPr>
          <w:rFonts w:ascii="Times New Roman" w:hAnsi="Times New Roman"/>
          <w:b/>
          <w:szCs w:val="24"/>
        </w:rPr>
        <w:t xml:space="preserve"> </w:t>
      </w:r>
      <w:r w:rsidR="00DC4B6D" w:rsidRPr="00A73D14">
        <w:rPr>
          <w:rFonts w:ascii="Times New Roman" w:hAnsi="Times New Roman"/>
          <w:b/>
          <w:szCs w:val="24"/>
        </w:rPr>
        <w:t>budget</w:t>
      </w:r>
      <w:r w:rsidRPr="00A73D14">
        <w:rPr>
          <w:rFonts w:ascii="Times New Roman" w:hAnsi="Times New Roman"/>
          <w:szCs w:val="24"/>
        </w:rPr>
        <w:t xml:space="preserve"> </w:t>
      </w:r>
      <w:r w:rsidR="00DC4B6D" w:rsidRPr="00A73D14">
        <w:rPr>
          <w:rFonts w:ascii="Times New Roman" w:hAnsi="Times New Roman"/>
          <w:szCs w:val="24"/>
        </w:rPr>
        <w:t xml:space="preserve">is </w:t>
      </w:r>
      <w:r w:rsidRPr="00A73D14">
        <w:rPr>
          <w:rFonts w:ascii="Times New Roman" w:hAnsi="Times New Roman"/>
          <w:szCs w:val="24"/>
        </w:rPr>
        <w:t>based on actual costs of Head Start-dedicated telephone lines</w:t>
      </w:r>
      <w:r w:rsidR="00EB7A10" w:rsidRPr="00A73D14">
        <w:rPr>
          <w:rFonts w:ascii="Times New Roman" w:hAnsi="Times New Roman"/>
          <w:szCs w:val="24"/>
        </w:rPr>
        <w:t>, internet services and utilities</w:t>
      </w:r>
      <w:r w:rsidRPr="00A73D14">
        <w:rPr>
          <w:rFonts w:ascii="Times New Roman" w:hAnsi="Times New Roman"/>
          <w:szCs w:val="24"/>
        </w:rPr>
        <w:t>.</w:t>
      </w:r>
      <w:r w:rsidR="00DC4B6D" w:rsidRPr="00A73D14">
        <w:rPr>
          <w:rFonts w:ascii="Times New Roman" w:hAnsi="Times New Roman"/>
          <w:szCs w:val="24"/>
        </w:rPr>
        <w:t xml:space="preserve"> </w:t>
      </w:r>
      <w:r w:rsidR="00DC4B6D" w:rsidRPr="00F705A7">
        <w:rPr>
          <w:rFonts w:ascii="Times New Roman" w:hAnsi="Times New Roman"/>
          <w:b/>
          <w:szCs w:val="24"/>
          <w:highlight w:val="yellow"/>
        </w:rPr>
        <w:t>$</w:t>
      </w:r>
      <w:r w:rsidR="00B05B51">
        <w:rPr>
          <w:rFonts w:ascii="Times New Roman" w:hAnsi="Times New Roman"/>
          <w:b/>
          <w:szCs w:val="24"/>
          <w:highlight w:val="yellow"/>
        </w:rPr>
        <w:t>132</w:t>
      </w:r>
      <w:r w:rsidR="009E4595" w:rsidRPr="009E4595">
        <w:rPr>
          <w:rFonts w:ascii="Times New Roman" w:hAnsi="Times New Roman"/>
          <w:b/>
          <w:szCs w:val="24"/>
          <w:highlight w:val="yellow"/>
        </w:rPr>
        <w:t>,993</w:t>
      </w:r>
      <w:r w:rsidR="00F705A7">
        <w:rPr>
          <w:rFonts w:ascii="Times New Roman" w:hAnsi="Times New Roman"/>
          <w:b/>
          <w:szCs w:val="24"/>
        </w:rPr>
        <w:t>.</w:t>
      </w:r>
    </w:p>
    <w:p w:rsidR="00EB7A10" w:rsidRPr="00A73D14" w:rsidRDefault="00EB7A10" w:rsidP="00BE3739">
      <w:pPr>
        <w:pStyle w:val="NormalWeb"/>
        <w:numPr>
          <w:ilvl w:val="0"/>
          <w:numId w:val="2"/>
        </w:numPr>
        <w:jc w:val="both"/>
      </w:pPr>
      <w:r w:rsidRPr="00A73D14">
        <w:rPr>
          <w:b/>
        </w:rPr>
        <w:t>Vehicle Expenses</w:t>
      </w:r>
      <w:r w:rsidRPr="00A73D14">
        <w:t xml:space="preserve"> include all maintenance and repair of the Head Start vans and buses. Vans </w:t>
      </w:r>
      <w:r w:rsidR="00CE1FE3" w:rsidRPr="00A73D14">
        <w:t xml:space="preserve">are </w:t>
      </w:r>
      <w:r w:rsidRPr="00A73D14">
        <w:t>use</w:t>
      </w:r>
      <w:r w:rsidR="00CE1FE3" w:rsidRPr="00A73D14">
        <w:t>d</w:t>
      </w:r>
      <w:r w:rsidRPr="00A73D14">
        <w:t xml:space="preserve"> by staff for home visits, training, visits to outlying centers, etc. Buses are </w:t>
      </w:r>
      <w:r w:rsidRPr="00A73D14">
        <w:lastRenderedPageBreak/>
        <w:t>used for field trips</w:t>
      </w:r>
      <w:r w:rsidR="00A3080E">
        <w:t xml:space="preserve">. Leon County Schools donated a bus to the program which will increase the overall vehicle expenses from the previous year.  </w:t>
      </w:r>
      <w:r w:rsidR="00F705A7">
        <w:rPr>
          <w:b/>
          <w:highlight w:val="yellow"/>
        </w:rPr>
        <w:t>$</w:t>
      </w:r>
      <w:r w:rsidR="00B05B51">
        <w:rPr>
          <w:b/>
          <w:highlight w:val="yellow"/>
        </w:rPr>
        <w:t>38</w:t>
      </w:r>
      <w:r w:rsidR="00F705A7" w:rsidRPr="00F705A7">
        <w:rPr>
          <w:b/>
          <w:highlight w:val="yellow"/>
        </w:rPr>
        <w:t>,000</w:t>
      </w:r>
    </w:p>
    <w:p w:rsidR="00736FCC" w:rsidRPr="005F4E41" w:rsidRDefault="00736FCC" w:rsidP="00BE3739">
      <w:pPr>
        <w:pStyle w:val="NormalWeb"/>
        <w:numPr>
          <w:ilvl w:val="0"/>
          <w:numId w:val="9"/>
        </w:numPr>
        <w:ind w:left="720"/>
        <w:jc w:val="both"/>
      </w:pPr>
      <w:r w:rsidRPr="005F4E41">
        <w:rPr>
          <w:b/>
        </w:rPr>
        <w:t xml:space="preserve">Dues and </w:t>
      </w:r>
      <w:r w:rsidR="00EB7A10" w:rsidRPr="005F4E41">
        <w:rPr>
          <w:b/>
        </w:rPr>
        <w:t>Subscriptions</w:t>
      </w:r>
      <w:r w:rsidRPr="005F4E41">
        <w:rPr>
          <w:b/>
        </w:rPr>
        <w:t>:</w:t>
      </w:r>
      <w:r w:rsidRPr="005F4E41">
        <w:t xml:space="preserve"> </w:t>
      </w:r>
      <w:r w:rsidR="0021295E" w:rsidRPr="005F4E41">
        <w:t xml:space="preserve">These funds </w:t>
      </w:r>
      <w:r w:rsidRPr="005F4E41">
        <w:t xml:space="preserve">will cover the costs of dues for NHSA, FHSA, Region IV HSA, and </w:t>
      </w:r>
      <w:r w:rsidR="004E1C57">
        <w:t>accreditation</w:t>
      </w:r>
      <w:r w:rsidRPr="005F4E41">
        <w:t xml:space="preserve">.  </w:t>
      </w:r>
      <w:r w:rsidR="00E47702" w:rsidRPr="00DF57A0">
        <w:rPr>
          <w:b/>
          <w:highlight w:val="yellow"/>
        </w:rPr>
        <w:t>$</w:t>
      </w:r>
      <w:r w:rsidR="009E4595">
        <w:rPr>
          <w:b/>
          <w:highlight w:val="yellow"/>
        </w:rPr>
        <w:t>2,6</w:t>
      </w:r>
      <w:r w:rsidR="00F705A7" w:rsidRPr="00DF57A0">
        <w:rPr>
          <w:b/>
          <w:highlight w:val="yellow"/>
        </w:rPr>
        <w:t>00</w:t>
      </w:r>
    </w:p>
    <w:p w:rsidR="005F4E41" w:rsidRDefault="00EB7A10" w:rsidP="005F4E41">
      <w:pPr>
        <w:pStyle w:val="BodyText"/>
        <w:numPr>
          <w:ilvl w:val="0"/>
          <w:numId w:val="2"/>
        </w:numPr>
        <w:rPr>
          <w:rFonts w:ascii="Times New Roman" w:hAnsi="Times New Roman"/>
          <w:szCs w:val="24"/>
        </w:rPr>
      </w:pPr>
      <w:r w:rsidRPr="005F4E41">
        <w:rPr>
          <w:rFonts w:ascii="Times New Roman" w:hAnsi="Times New Roman"/>
          <w:b/>
          <w:szCs w:val="24"/>
        </w:rPr>
        <w:t xml:space="preserve">Staff Screening:  </w:t>
      </w:r>
      <w:r w:rsidR="0021295E" w:rsidRPr="005F4E41">
        <w:rPr>
          <w:rFonts w:ascii="Times New Roman" w:hAnsi="Times New Roman"/>
          <w:szCs w:val="24"/>
        </w:rPr>
        <w:t>The</w:t>
      </w:r>
      <w:r w:rsidRPr="005F4E41">
        <w:rPr>
          <w:rFonts w:ascii="Times New Roman" w:hAnsi="Times New Roman"/>
          <w:szCs w:val="24"/>
        </w:rPr>
        <w:t xml:space="preserve"> cost of any rescreening needed for staff</w:t>
      </w:r>
      <w:r w:rsidR="0021295E" w:rsidRPr="005F4E41">
        <w:rPr>
          <w:rFonts w:ascii="Times New Roman" w:hAnsi="Times New Roman"/>
          <w:szCs w:val="24"/>
        </w:rPr>
        <w:t xml:space="preserve"> is covered with these </w:t>
      </w:r>
      <w:r w:rsidR="00087A1B" w:rsidRPr="005F4E41">
        <w:rPr>
          <w:rFonts w:ascii="Times New Roman" w:hAnsi="Times New Roman"/>
          <w:szCs w:val="24"/>
        </w:rPr>
        <w:t>funds</w:t>
      </w:r>
      <w:r w:rsidRPr="005F4E41">
        <w:rPr>
          <w:rFonts w:ascii="Times New Roman" w:hAnsi="Times New Roman"/>
          <w:szCs w:val="24"/>
        </w:rPr>
        <w:t>.  Initial screenings are paid for by new hires.</w:t>
      </w:r>
      <w:r w:rsidR="0021295E" w:rsidRPr="005F4E41">
        <w:rPr>
          <w:rFonts w:ascii="Times New Roman" w:hAnsi="Times New Roman"/>
          <w:szCs w:val="24"/>
        </w:rPr>
        <w:t xml:space="preserve"> </w:t>
      </w:r>
      <w:r w:rsidR="0021295E" w:rsidRPr="00F705A7">
        <w:rPr>
          <w:rFonts w:ascii="Times New Roman" w:hAnsi="Times New Roman"/>
          <w:b/>
          <w:szCs w:val="24"/>
          <w:highlight w:val="yellow"/>
        </w:rPr>
        <w:t>$</w:t>
      </w:r>
      <w:r w:rsidR="00F705A7" w:rsidRPr="00F705A7">
        <w:rPr>
          <w:rFonts w:ascii="Times New Roman" w:hAnsi="Times New Roman"/>
          <w:b/>
          <w:szCs w:val="24"/>
          <w:highlight w:val="yellow"/>
        </w:rPr>
        <w:t>1,150</w:t>
      </w:r>
    </w:p>
    <w:p w:rsidR="001E5B60" w:rsidRPr="00431FF9" w:rsidRDefault="001E5B60" w:rsidP="00BE3739">
      <w:pPr>
        <w:pStyle w:val="BodyText"/>
        <w:numPr>
          <w:ilvl w:val="0"/>
          <w:numId w:val="2"/>
        </w:numPr>
        <w:rPr>
          <w:rFonts w:ascii="Times New Roman" w:hAnsi="Times New Roman"/>
          <w:szCs w:val="24"/>
        </w:rPr>
      </w:pPr>
      <w:r w:rsidRPr="00431FF9">
        <w:rPr>
          <w:rFonts w:ascii="Times New Roman" w:hAnsi="Times New Roman"/>
          <w:b/>
          <w:szCs w:val="24"/>
        </w:rPr>
        <w:t>Fees, Licenses, Permits</w:t>
      </w:r>
      <w:r w:rsidRPr="00431FF9">
        <w:rPr>
          <w:rFonts w:ascii="Times New Roman" w:hAnsi="Times New Roman"/>
          <w:szCs w:val="24"/>
        </w:rPr>
        <w:t xml:space="preserve">:  </w:t>
      </w:r>
      <w:r w:rsidR="00022CE4" w:rsidRPr="00431FF9">
        <w:rPr>
          <w:rFonts w:ascii="Times New Roman" w:hAnsi="Times New Roman"/>
          <w:szCs w:val="24"/>
        </w:rPr>
        <w:t>The cost of</w:t>
      </w:r>
      <w:r w:rsidRPr="00431FF9">
        <w:rPr>
          <w:rFonts w:ascii="Times New Roman" w:hAnsi="Times New Roman"/>
          <w:szCs w:val="24"/>
        </w:rPr>
        <w:t xml:space="preserve"> child care license</w:t>
      </w:r>
      <w:r w:rsidR="00E40EC2" w:rsidRPr="00431FF9">
        <w:rPr>
          <w:rFonts w:ascii="Times New Roman" w:hAnsi="Times New Roman"/>
          <w:szCs w:val="24"/>
        </w:rPr>
        <w:t>s</w:t>
      </w:r>
      <w:r w:rsidRPr="00431FF9">
        <w:rPr>
          <w:rFonts w:ascii="Times New Roman" w:hAnsi="Times New Roman"/>
          <w:szCs w:val="24"/>
        </w:rPr>
        <w:t xml:space="preserve"> through the State</w:t>
      </w:r>
      <w:r w:rsidRPr="00431FF9">
        <w:rPr>
          <w:rFonts w:ascii="Times New Roman" w:hAnsi="Times New Roman"/>
          <w:b/>
          <w:szCs w:val="24"/>
        </w:rPr>
        <w:t xml:space="preserve"> o</w:t>
      </w:r>
      <w:r w:rsidRPr="00431FF9">
        <w:rPr>
          <w:rFonts w:ascii="Times New Roman" w:hAnsi="Times New Roman"/>
          <w:szCs w:val="24"/>
        </w:rPr>
        <w:t>f</w:t>
      </w:r>
      <w:r w:rsidRPr="00431FF9">
        <w:rPr>
          <w:rFonts w:ascii="Times New Roman" w:hAnsi="Times New Roman"/>
          <w:b/>
          <w:szCs w:val="24"/>
        </w:rPr>
        <w:t xml:space="preserve"> </w:t>
      </w:r>
      <w:r w:rsidRPr="00431FF9">
        <w:rPr>
          <w:rFonts w:ascii="Times New Roman" w:hAnsi="Times New Roman"/>
          <w:szCs w:val="24"/>
        </w:rPr>
        <w:t>Florida, building permits and business licenses.</w:t>
      </w:r>
      <w:r w:rsidR="00E47702">
        <w:rPr>
          <w:rFonts w:ascii="Times New Roman" w:hAnsi="Times New Roman"/>
          <w:szCs w:val="24"/>
        </w:rPr>
        <w:t xml:space="preserve"> </w:t>
      </w:r>
      <w:r w:rsidR="00E47702" w:rsidRPr="00F705A7">
        <w:rPr>
          <w:rFonts w:ascii="Times New Roman" w:hAnsi="Times New Roman"/>
          <w:b/>
          <w:szCs w:val="24"/>
          <w:highlight w:val="yellow"/>
        </w:rPr>
        <w:t>$</w:t>
      </w:r>
      <w:r w:rsidR="009E4595">
        <w:rPr>
          <w:rFonts w:ascii="Times New Roman" w:hAnsi="Times New Roman"/>
          <w:b/>
          <w:szCs w:val="24"/>
          <w:highlight w:val="yellow"/>
        </w:rPr>
        <w:t>2,5</w:t>
      </w:r>
      <w:r w:rsidR="0059669E" w:rsidRPr="00F705A7">
        <w:rPr>
          <w:rFonts w:ascii="Times New Roman" w:hAnsi="Times New Roman"/>
          <w:b/>
          <w:szCs w:val="24"/>
          <w:highlight w:val="yellow"/>
        </w:rPr>
        <w:t>00</w:t>
      </w:r>
    </w:p>
    <w:p w:rsidR="001E5B60" w:rsidRPr="00431FF9" w:rsidRDefault="00736FCC" w:rsidP="00BE3739">
      <w:pPr>
        <w:pStyle w:val="BodyText"/>
        <w:numPr>
          <w:ilvl w:val="0"/>
          <w:numId w:val="2"/>
        </w:numPr>
        <w:rPr>
          <w:rFonts w:ascii="Times New Roman" w:hAnsi="Times New Roman"/>
          <w:szCs w:val="24"/>
        </w:rPr>
      </w:pPr>
      <w:r w:rsidRPr="00431FF9">
        <w:rPr>
          <w:rFonts w:ascii="Times New Roman" w:hAnsi="Times New Roman"/>
          <w:b/>
          <w:szCs w:val="24"/>
        </w:rPr>
        <w:t>Postage</w:t>
      </w:r>
      <w:r w:rsidR="001E5B60" w:rsidRPr="00431FF9">
        <w:rPr>
          <w:rFonts w:ascii="Times New Roman" w:hAnsi="Times New Roman"/>
          <w:b/>
          <w:szCs w:val="24"/>
        </w:rPr>
        <w:t xml:space="preserve"> and Delivery</w:t>
      </w:r>
      <w:r w:rsidRPr="00431FF9">
        <w:rPr>
          <w:rFonts w:ascii="Times New Roman" w:hAnsi="Times New Roman"/>
          <w:b/>
          <w:szCs w:val="24"/>
        </w:rPr>
        <w:t>:</w:t>
      </w:r>
      <w:r w:rsidRPr="00431FF9">
        <w:rPr>
          <w:rFonts w:ascii="Times New Roman" w:hAnsi="Times New Roman"/>
          <w:szCs w:val="24"/>
        </w:rPr>
        <w:t xml:space="preserve"> </w:t>
      </w:r>
      <w:r w:rsidR="00022CE4" w:rsidRPr="00431FF9">
        <w:rPr>
          <w:rFonts w:ascii="Times New Roman" w:hAnsi="Times New Roman"/>
          <w:szCs w:val="24"/>
        </w:rPr>
        <w:t xml:space="preserve">A budget is </w:t>
      </w:r>
      <w:r w:rsidR="00735BDE" w:rsidRPr="00431FF9">
        <w:rPr>
          <w:rFonts w:ascii="Times New Roman" w:hAnsi="Times New Roman"/>
          <w:szCs w:val="24"/>
        </w:rPr>
        <w:t>designated for</w:t>
      </w:r>
      <w:r w:rsidRPr="00431FF9">
        <w:rPr>
          <w:rFonts w:ascii="Times New Roman" w:hAnsi="Times New Roman"/>
          <w:szCs w:val="24"/>
        </w:rPr>
        <w:t xml:space="preserve"> postage which allows the progra</w:t>
      </w:r>
      <w:r w:rsidR="00735BDE" w:rsidRPr="00431FF9">
        <w:rPr>
          <w:rFonts w:ascii="Times New Roman" w:hAnsi="Times New Roman"/>
          <w:szCs w:val="24"/>
        </w:rPr>
        <w:t xml:space="preserve">m to communicate with the staff, </w:t>
      </w:r>
      <w:r w:rsidRPr="00431FF9">
        <w:rPr>
          <w:rFonts w:ascii="Times New Roman" w:hAnsi="Times New Roman"/>
          <w:szCs w:val="24"/>
        </w:rPr>
        <w:t>community</w:t>
      </w:r>
      <w:r w:rsidR="00735BDE" w:rsidRPr="00431FF9">
        <w:rPr>
          <w:rFonts w:ascii="Times New Roman" w:hAnsi="Times New Roman"/>
          <w:szCs w:val="24"/>
        </w:rPr>
        <w:t xml:space="preserve"> and funders</w:t>
      </w:r>
      <w:r w:rsidRPr="00431FF9">
        <w:rPr>
          <w:rFonts w:ascii="Times New Roman" w:hAnsi="Times New Roman"/>
          <w:szCs w:val="24"/>
        </w:rPr>
        <w:t xml:space="preserve">. </w:t>
      </w:r>
      <w:r w:rsidR="00022CE4" w:rsidRPr="0069664D">
        <w:rPr>
          <w:rFonts w:ascii="Times New Roman" w:hAnsi="Times New Roman"/>
          <w:b/>
          <w:szCs w:val="24"/>
          <w:highlight w:val="yellow"/>
        </w:rPr>
        <w:t>$</w:t>
      </w:r>
      <w:r w:rsidR="00693B3C" w:rsidRPr="0069664D">
        <w:rPr>
          <w:rFonts w:ascii="Times New Roman" w:hAnsi="Times New Roman"/>
          <w:b/>
          <w:szCs w:val="24"/>
          <w:highlight w:val="yellow"/>
        </w:rPr>
        <w:t>1</w:t>
      </w:r>
      <w:r w:rsidR="00022CE4" w:rsidRPr="0069664D">
        <w:rPr>
          <w:rFonts w:ascii="Times New Roman" w:hAnsi="Times New Roman"/>
          <w:b/>
          <w:szCs w:val="24"/>
          <w:highlight w:val="yellow"/>
        </w:rPr>
        <w:t>,</w:t>
      </w:r>
      <w:r w:rsidR="0069664D" w:rsidRPr="0069664D">
        <w:rPr>
          <w:rFonts w:ascii="Times New Roman" w:hAnsi="Times New Roman"/>
          <w:b/>
          <w:szCs w:val="24"/>
          <w:highlight w:val="yellow"/>
        </w:rPr>
        <w:t>5</w:t>
      </w:r>
      <w:r w:rsidR="00693B3C" w:rsidRPr="0069664D">
        <w:rPr>
          <w:rFonts w:ascii="Times New Roman" w:hAnsi="Times New Roman"/>
          <w:b/>
          <w:szCs w:val="24"/>
          <w:highlight w:val="yellow"/>
        </w:rPr>
        <w:t>0</w:t>
      </w:r>
      <w:r w:rsidR="00022CE4" w:rsidRPr="0069664D">
        <w:rPr>
          <w:rFonts w:ascii="Times New Roman" w:hAnsi="Times New Roman"/>
          <w:b/>
          <w:szCs w:val="24"/>
          <w:highlight w:val="yellow"/>
        </w:rPr>
        <w:t>0</w:t>
      </w:r>
    </w:p>
    <w:p w:rsidR="001E5B60" w:rsidRDefault="001E5B60" w:rsidP="00BE3739">
      <w:pPr>
        <w:pStyle w:val="BodyText"/>
        <w:numPr>
          <w:ilvl w:val="0"/>
          <w:numId w:val="2"/>
        </w:numPr>
        <w:rPr>
          <w:rFonts w:ascii="Times New Roman" w:hAnsi="Times New Roman"/>
          <w:szCs w:val="24"/>
        </w:rPr>
      </w:pPr>
      <w:r w:rsidRPr="00431FF9">
        <w:rPr>
          <w:rFonts w:ascii="Times New Roman" w:hAnsi="Times New Roman"/>
          <w:b/>
          <w:szCs w:val="24"/>
        </w:rPr>
        <w:t>Expendable Equipment</w:t>
      </w:r>
      <w:r w:rsidRPr="00431FF9">
        <w:rPr>
          <w:rFonts w:ascii="Times New Roman" w:hAnsi="Times New Roman"/>
          <w:szCs w:val="24"/>
        </w:rPr>
        <w:t>:</w:t>
      </w:r>
      <w:r w:rsidRPr="00431FF9">
        <w:rPr>
          <w:rFonts w:ascii="Times New Roman" w:hAnsi="Times New Roman"/>
          <w:i/>
          <w:szCs w:val="24"/>
        </w:rPr>
        <w:t xml:space="preserve"> </w:t>
      </w:r>
      <w:r w:rsidR="00607712" w:rsidRPr="00431FF9">
        <w:rPr>
          <w:rFonts w:ascii="Times New Roman" w:hAnsi="Times New Roman"/>
          <w:szCs w:val="24"/>
        </w:rPr>
        <w:t xml:space="preserve">Funds will be used to replace playground equipment </w:t>
      </w:r>
      <w:r w:rsidR="00607712">
        <w:rPr>
          <w:rFonts w:ascii="Times New Roman" w:hAnsi="Times New Roman"/>
          <w:szCs w:val="24"/>
        </w:rPr>
        <w:t xml:space="preserve">and </w:t>
      </w:r>
      <w:r w:rsidRPr="00431FF9">
        <w:rPr>
          <w:rFonts w:ascii="Times New Roman" w:hAnsi="Times New Roman"/>
          <w:szCs w:val="24"/>
        </w:rPr>
        <w:t>support replacement of computer hardware, monitors, keyboards, etc. on an as-needed basis.</w:t>
      </w:r>
      <w:r w:rsidR="0069664D">
        <w:rPr>
          <w:rFonts w:ascii="Times New Roman" w:hAnsi="Times New Roman"/>
          <w:szCs w:val="24"/>
        </w:rPr>
        <w:t xml:space="preserve"> </w:t>
      </w:r>
      <w:r w:rsidR="009E4595">
        <w:rPr>
          <w:rFonts w:ascii="Times New Roman" w:hAnsi="Times New Roman"/>
          <w:b/>
          <w:szCs w:val="24"/>
          <w:highlight w:val="yellow"/>
        </w:rPr>
        <w:t>$6</w:t>
      </w:r>
      <w:r w:rsidR="00FC170B" w:rsidRPr="0069664D">
        <w:rPr>
          <w:rFonts w:ascii="Times New Roman" w:hAnsi="Times New Roman"/>
          <w:b/>
          <w:szCs w:val="24"/>
          <w:highlight w:val="yellow"/>
        </w:rPr>
        <w:t>,0</w:t>
      </w:r>
      <w:r w:rsidR="00022CE4" w:rsidRPr="0069664D">
        <w:rPr>
          <w:rFonts w:ascii="Times New Roman" w:hAnsi="Times New Roman"/>
          <w:b/>
          <w:szCs w:val="24"/>
          <w:highlight w:val="yellow"/>
        </w:rPr>
        <w:t>00</w:t>
      </w:r>
      <w:r w:rsidR="00880818">
        <w:rPr>
          <w:rFonts w:ascii="Times New Roman" w:hAnsi="Times New Roman"/>
          <w:szCs w:val="24"/>
        </w:rPr>
        <w:t xml:space="preserve">   </w:t>
      </w:r>
    </w:p>
    <w:p w:rsidR="00D85A80" w:rsidRDefault="00D85A80" w:rsidP="00D85A80">
      <w:pPr>
        <w:pStyle w:val="BodyText"/>
        <w:numPr>
          <w:ilvl w:val="0"/>
          <w:numId w:val="2"/>
        </w:numPr>
        <w:rPr>
          <w:rFonts w:ascii="Times New Roman" w:hAnsi="Times New Roman"/>
          <w:szCs w:val="24"/>
        </w:rPr>
      </w:pPr>
      <w:r w:rsidRPr="00D85A80">
        <w:rPr>
          <w:rFonts w:ascii="Times New Roman" w:hAnsi="Times New Roman"/>
          <w:b/>
          <w:szCs w:val="24"/>
        </w:rPr>
        <w:t>Equipment Lease:</w:t>
      </w:r>
      <w:r>
        <w:rPr>
          <w:rFonts w:ascii="Times New Roman" w:hAnsi="Times New Roman"/>
          <w:szCs w:val="24"/>
        </w:rPr>
        <w:t xml:space="preserve"> One </w:t>
      </w:r>
      <w:r w:rsidRPr="00D85A80">
        <w:rPr>
          <w:rFonts w:ascii="Times New Roman" w:hAnsi="Times New Roman"/>
          <w:szCs w:val="24"/>
        </w:rPr>
        <w:t>copier/scanner/fax/printer</w:t>
      </w:r>
      <w:r w:rsidRPr="00431FF9">
        <w:rPr>
          <w:rFonts w:ascii="Times New Roman" w:hAnsi="Times New Roman"/>
          <w:szCs w:val="24"/>
        </w:rPr>
        <w:t xml:space="preserve"> </w:t>
      </w:r>
      <w:r>
        <w:rPr>
          <w:rFonts w:ascii="Times New Roman" w:hAnsi="Times New Roman"/>
          <w:szCs w:val="24"/>
        </w:rPr>
        <w:t xml:space="preserve">will be leased </w:t>
      </w:r>
      <w:r w:rsidRPr="00431FF9">
        <w:rPr>
          <w:rFonts w:ascii="Times New Roman" w:hAnsi="Times New Roman"/>
          <w:szCs w:val="24"/>
        </w:rPr>
        <w:t xml:space="preserve">for the administration office.  </w:t>
      </w:r>
      <w:r w:rsidRPr="0069664D">
        <w:rPr>
          <w:rFonts w:ascii="Times New Roman" w:hAnsi="Times New Roman"/>
          <w:b/>
          <w:szCs w:val="24"/>
          <w:highlight w:val="yellow"/>
        </w:rPr>
        <w:t>$</w:t>
      </w:r>
      <w:r w:rsidR="00B05B51">
        <w:rPr>
          <w:rFonts w:ascii="Times New Roman" w:hAnsi="Times New Roman"/>
          <w:b/>
          <w:szCs w:val="24"/>
          <w:highlight w:val="yellow"/>
        </w:rPr>
        <w:t>9</w:t>
      </w:r>
      <w:r w:rsidR="0069664D" w:rsidRPr="0069664D">
        <w:rPr>
          <w:rFonts w:ascii="Times New Roman" w:hAnsi="Times New Roman"/>
          <w:b/>
          <w:szCs w:val="24"/>
          <w:highlight w:val="yellow"/>
        </w:rPr>
        <w:t>,6</w:t>
      </w:r>
      <w:r w:rsidRPr="0069664D">
        <w:rPr>
          <w:rFonts w:ascii="Times New Roman" w:hAnsi="Times New Roman"/>
          <w:b/>
          <w:szCs w:val="24"/>
          <w:highlight w:val="yellow"/>
        </w:rPr>
        <w:t>00</w:t>
      </w:r>
    </w:p>
    <w:p w:rsidR="00736FCC" w:rsidRPr="00431FF9" w:rsidRDefault="00736FCC" w:rsidP="00BE3739">
      <w:pPr>
        <w:pStyle w:val="BodyText"/>
        <w:numPr>
          <w:ilvl w:val="0"/>
          <w:numId w:val="2"/>
        </w:numPr>
        <w:rPr>
          <w:rFonts w:ascii="Times New Roman" w:hAnsi="Times New Roman"/>
          <w:szCs w:val="24"/>
        </w:rPr>
      </w:pPr>
      <w:r w:rsidRPr="00431FF9">
        <w:rPr>
          <w:rFonts w:ascii="Times New Roman" w:hAnsi="Times New Roman"/>
          <w:b/>
          <w:szCs w:val="24"/>
        </w:rPr>
        <w:t>Printing and Duplication:</w:t>
      </w:r>
      <w:r w:rsidRPr="00431FF9">
        <w:rPr>
          <w:rFonts w:ascii="Times New Roman" w:hAnsi="Times New Roman"/>
          <w:szCs w:val="24"/>
        </w:rPr>
        <w:t xml:space="preserve"> </w:t>
      </w:r>
      <w:r w:rsidR="00022CE4" w:rsidRPr="00431FF9">
        <w:rPr>
          <w:rFonts w:ascii="Times New Roman" w:hAnsi="Times New Roman"/>
          <w:szCs w:val="24"/>
        </w:rPr>
        <w:t xml:space="preserve">Funds </w:t>
      </w:r>
      <w:r w:rsidRPr="00431FF9">
        <w:rPr>
          <w:rFonts w:ascii="Times New Roman" w:hAnsi="Times New Roman"/>
          <w:szCs w:val="24"/>
        </w:rPr>
        <w:t xml:space="preserve">will be used to pay for printing the annual report, parent handbooks, forms and business cards. </w:t>
      </w:r>
      <w:r w:rsidR="00E47702" w:rsidRPr="0069664D">
        <w:rPr>
          <w:rFonts w:ascii="Times New Roman" w:hAnsi="Times New Roman"/>
          <w:b/>
          <w:szCs w:val="24"/>
          <w:highlight w:val="yellow"/>
        </w:rPr>
        <w:t>$</w:t>
      </w:r>
      <w:r w:rsidR="009E4595">
        <w:rPr>
          <w:rFonts w:ascii="Times New Roman" w:hAnsi="Times New Roman"/>
          <w:b/>
          <w:szCs w:val="24"/>
          <w:highlight w:val="yellow"/>
        </w:rPr>
        <w:t>20,00</w:t>
      </w:r>
      <w:r w:rsidR="0069664D" w:rsidRPr="0069664D">
        <w:rPr>
          <w:rFonts w:ascii="Times New Roman" w:hAnsi="Times New Roman"/>
          <w:b/>
          <w:szCs w:val="24"/>
          <w:highlight w:val="yellow"/>
        </w:rPr>
        <w:t>0</w:t>
      </w:r>
    </w:p>
    <w:p w:rsidR="00736FCC" w:rsidRPr="00431FF9" w:rsidRDefault="001E5B60" w:rsidP="00BE3739">
      <w:pPr>
        <w:pStyle w:val="BodyText"/>
        <w:numPr>
          <w:ilvl w:val="0"/>
          <w:numId w:val="2"/>
        </w:numPr>
        <w:rPr>
          <w:rFonts w:ascii="Times New Roman" w:hAnsi="Times New Roman"/>
          <w:szCs w:val="24"/>
        </w:rPr>
      </w:pPr>
      <w:r w:rsidRPr="00431FF9">
        <w:rPr>
          <w:rFonts w:ascii="Times New Roman" w:hAnsi="Times New Roman"/>
          <w:b/>
          <w:szCs w:val="24"/>
        </w:rPr>
        <w:t xml:space="preserve">Building </w:t>
      </w:r>
      <w:r w:rsidR="002A7F3D">
        <w:rPr>
          <w:rFonts w:ascii="Times New Roman" w:hAnsi="Times New Roman"/>
          <w:b/>
          <w:szCs w:val="24"/>
        </w:rPr>
        <w:t xml:space="preserve">Repairs and </w:t>
      </w:r>
      <w:r w:rsidR="00736FCC" w:rsidRPr="00431FF9">
        <w:rPr>
          <w:rFonts w:ascii="Times New Roman" w:hAnsi="Times New Roman"/>
          <w:b/>
          <w:szCs w:val="24"/>
        </w:rPr>
        <w:t xml:space="preserve">Maintenance: </w:t>
      </w:r>
      <w:r w:rsidR="00736FCC" w:rsidRPr="00431FF9">
        <w:rPr>
          <w:rFonts w:ascii="Times New Roman" w:hAnsi="Times New Roman"/>
          <w:szCs w:val="24"/>
        </w:rPr>
        <w:t xml:space="preserve">A budget </w:t>
      </w:r>
      <w:r w:rsidR="00022CE4" w:rsidRPr="00431FF9">
        <w:rPr>
          <w:rFonts w:ascii="Times New Roman" w:hAnsi="Times New Roman"/>
          <w:szCs w:val="24"/>
        </w:rPr>
        <w:t xml:space="preserve">is established </w:t>
      </w:r>
      <w:r w:rsidR="00736FCC" w:rsidRPr="00431FF9">
        <w:rPr>
          <w:rFonts w:ascii="Times New Roman" w:hAnsi="Times New Roman"/>
          <w:szCs w:val="24"/>
        </w:rPr>
        <w:t xml:space="preserve">for </w:t>
      </w:r>
      <w:r w:rsidRPr="00431FF9">
        <w:rPr>
          <w:rFonts w:ascii="Times New Roman" w:hAnsi="Times New Roman"/>
          <w:szCs w:val="24"/>
        </w:rPr>
        <w:t>pest control, security services, lawn services, custodial services, signage</w:t>
      </w:r>
      <w:r w:rsidR="00E40EC2" w:rsidRPr="00431FF9">
        <w:rPr>
          <w:rFonts w:ascii="Times New Roman" w:hAnsi="Times New Roman"/>
          <w:szCs w:val="24"/>
        </w:rPr>
        <w:t xml:space="preserve">, </w:t>
      </w:r>
      <w:r w:rsidR="00736FCC" w:rsidRPr="00431FF9">
        <w:rPr>
          <w:rFonts w:ascii="Times New Roman" w:hAnsi="Times New Roman"/>
          <w:szCs w:val="24"/>
        </w:rPr>
        <w:t>repair</w:t>
      </w:r>
      <w:r w:rsidRPr="00431FF9">
        <w:rPr>
          <w:rFonts w:ascii="Times New Roman" w:hAnsi="Times New Roman"/>
          <w:szCs w:val="24"/>
        </w:rPr>
        <w:t>s</w:t>
      </w:r>
      <w:r w:rsidR="00736FCC" w:rsidRPr="00431FF9">
        <w:rPr>
          <w:rFonts w:ascii="Times New Roman" w:hAnsi="Times New Roman"/>
          <w:szCs w:val="24"/>
        </w:rPr>
        <w:t xml:space="preserve"> and maintenance will also be required to support general program operations. </w:t>
      </w:r>
      <w:r w:rsidR="00FC170B">
        <w:rPr>
          <w:rFonts w:ascii="Times New Roman" w:hAnsi="Times New Roman"/>
          <w:szCs w:val="24"/>
        </w:rPr>
        <w:t xml:space="preserve">The agency </w:t>
      </w:r>
      <w:r w:rsidR="002A7F3D">
        <w:rPr>
          <w:rFonts w:ascii="Times New Roman" w:hAnsi="Times New Roman"/>
          <w:szCs w:val="24"/>
        </w:rPr>
        <w:t>owns two of the properties and leases the three other locations.  All facilities, (with the exception of the Royal Center which was remodeled two years ago), are older structures that require</w:t>
      </w:r>
      <w:r w:rsidR="00FC170B">
        <w:rPr>
          <w:rFonts w:ascii="Times New Roman" w:hAnsi="Times New Roman"/>
          <w:szCs w:val="24"/>
        </w:rPr>
        <w:t xml:space="preserve"> frequent maintenance</w:t>
      </w:r>
      <w:r w:rsidR="002A7F3D">
        <w:rPr>
          <w:rFonts w:ascii="Times New Roman" w:hAnsi="Times New Roman"/>
          <w:szCs w:val="24"/>
        </w:rPr>
        <w:t xml:space="preserve"> to the buildings and playgrounds</w:t>
      </w:r>
      <w:r w:rsidR="00FC170B">
        <w:rPr>
          <w:rFonts w:ascii="Times New Roman" w:hAnsi="Times New Roman"/>
          <w:szCs w:val="24"/>
        </w:rPr>
        <w:t xml:space="preserve">.  </w:t>
      </w:r>
      <w:r w:rsidR="002A7F3D" w:rsidRPr="0069664D">
        <w:rPr>
          <w:rFonts w:ascii="Times New Roman" w:hAnsi="Times New Roman"/>
          <w:b/>
          <w:szCs w:val="24"/>
          <w:highlight w:val="yellow"/>
        </w:rPr>
        <w:t>$</w:t>
      </w:r>
      <w:r w:rsidR="00B05B51" w:rsidRPr="00B05B51">
        <w:rPr>
          <w:rFonts w:ascii="Times New Roman" w:hAnsi="Times New Roman"/>
          <w:b/>
          <w:szCs w:val="24"/>
          <w:highlight w:val="yellow"/>
        </w:rPr>
        <w:t>136,752</w:t>
      </w:r>
    </w:p>
    <w:p w:rsidR="005806BB" w:rsidRPr="00431FF9" w:rsidRDefault="005806BB" w:rsidP="00BE3739">
      <w:pPr>
        <w:pStyle w:val="BodyText"/>
        <w:numPr>
          <w:ilvl w:val="0"/>
          <w:numId w:val="2"/>
        </w:numPr>
        <w:rPr>
          <w:rFonts w:ascii="Times New Roman" w:hAnsi="Times New Roman"/>
          <w:szCs w:val="24"/>
        </w:rPr>
      </w:pPr>
      <w:r w:rsidRPr="00431FF9">
        <w:rPr>
          <w:rFonts w:ascii="Times New Roman" w:hAnsi="Times New Roman"/>
          <w:b/>
          <w:szCs w:val="24"/>
        </w:rPr>
        <w:t>Rent</w:t>
      </w:r>
      <w:r w:rsidRPr="00431FF9">
        <w:rPr>
          <w:rFonts w:ascii="Times New Roman" w:hAnsi="Times New Roman"/>
          <w:szCs w:val="24"/>
        </w:rPr>
        <w:t xml:space="preserve">:  </w:t>
      </w:r>
      <w:r w:rsidR="002A7F3D">
        <w:rPr>
          <w:rFonts w:ascii="Times New Roman" w:hAnsi="Times New Roman"/>
          <w:szCs w:val="24"/>
        </w:rPr>
        <w:t>Two</w:t>
      </w:r>
      <w:r w:rsidR="00D845F4" w:rsidRPr="00431FF9">
        <w:rPr>
          <w:rFonts w:ascii="Times New Roman" w:hAnsi="Times New Roman"/>
          <w:szCs w:val="24"/>
        </w:rPr>
        <w:t xml:space="preserve"> centers in Leon County </w:t>
      </w:r>
      <w:r w:rsidR="002A7F3D">
        <w:rPr>
          <w:rFonts w:ascii="Times New Roman" w:hAnsi="Times New Roman"/>
          <w:szCs w:val="24"/>
        </w:rPr>
        <w:t xml:space="preserve">and one in Franklin County </w:t>
      </w:r>
      <w:r w:rsidR="00D845F4" w:rsidRPr="00431FF9">
        <w:rPr>
          <w:rFonts w:ascii="Times New Roman" w:hAnsi="Times New Roman"/>
          <w:szCs w:val="24"/>
        </w:rPr>
        <w:t xml:space="preserve">are leased.  </w:t>
      </w:r>
      <w:r w:rsidR="00FC170B">
        <w:rPr>
          <w:rFonts w:ascii="Times New Roman" w:hAnsi="Times New Roman"/>
          <w:szCs w:val="24"/>
        </w:rPr>
        <w:t xml:space="preserve">VPK, USDA and School Readiness contribute </w:t>
      </w:r>
      <w:r w:rsidR="002A7F3D">
        <w:rPr>
          <w:rFonts w:ascii="Times New Roman" w:hAnsi="Times New Roman"/>
          <w:szCs w:val="24"/>
        </w:rPr>
        <w:t>additional funds that cover a portion of rent, maintenance and other expenses.</w:t>
      </w:r>
      <w:r w:rsidR="0069664D">
        <w:rPr>
          <w:rFonts w:ascii="Times New Roman" w:hAnsi="Times New Roman"/>
          <w:szCs w:val="24"/>
        </w:rPr>
        <w:t xml:space="preserve">  </w:t>
      </w:r>
      <w:r w:rsidR="009E4595">
        <w:rPr>
          <w:rFonts w:ascii="Times New Roman" w:hAnsi="Times New Roman"/>
          <w:b/>
          <w:szCs w:val="24"/>
          <w:highlight w:val="yellow"/>
        </w:rPr>
        <w:t>$18</w:t>
      </w:r>
      <w:r w:rsidR="0069664D" w:rsidRPr="0069664D">
        <w:rPr>
          <w:rFonts w:ascii="Times New Roman" w:hAnsi="Times New Roman"/>
          <w:b/>
          <w:szCs w:val="24"/>
          <w:highlight w:val="yellow"/>
        </w:rPr>
        <w:t>2,735</w:t>
      </w:r>
    </w:p>
    <w:p w:rsidR="005806BB" w:rsidRPr="00DF57A0" w:rsidRDefault="005806BB" w:rsidP="00BE3739">
      <w:pPr>
        <w:pStyle w:val="BodyText"/>
        <w:numPr>
          <w:ilvl w:val="0"/>
          <w:numId w:val="2"/>
        </w:numPr>
        <w:rPr>
          <w:rFonts w:ascii="Times New Roman" w:hAnsi="Times New Roman"/>
          <w:b/>
          <w:szCs w:val="24"/>
        </w:rPr>
      </w:pPr>
      <w:r w:rsidRPr="00431FF9">
        <w:rPr>
          <w:rFonts w:ascii="Times New Roman" w:hAnsi="Times New Roman"/>
          <w:b/>
          <w:szCs w:val="24"/>
        </w:rPr>
        <w:t>Building and Child Liability Insurance</w:t>
      </w:r>
      <w:r w:rsidR="008671AC" w:rsidRPr="00431FF9">
        <w:rPr>
          <w:rFonts w:ascii="Times New Roman" w:hAnsi="Times New Roman"/>
          <w:b/>
          <w:szCs w:val="24"/>
        </w:rPr>
        <w:t>:</w:t>
      </w:r>
      <w:r w:rsidR="00DF57A0">
        <w:rPr>
          <w:rFonts w:ascii="Times New Roman" w:hAnsi="Times New Roman"/>
          <w:szCs w:val="24"/>
        </w:rPr>
        <w:t xml:space="preserve">  </w:t>
      </w:r>
      <w:r w:rsidR="00DF57A0" w:rsidRPr="00DF57A0">
        <w:rPr>
          <w:rFonts w:ascii="Times New Roman" w:hAnsi="Times New Roman"/>
          <w:b/>
          <w:szCs w:val="24"/>
          <w:highlight w:val="yellow"/>
        </w:rPr>
        <w:t>$32</w:t>
      </w:r>
      <w:r w:rsidR="008671AC" w:rsidRPr="00DF57A0">
        <w:rPr>
          <w:rFonts w:ascii="Times New Roman" w:hAnsi="Times New Roman"/>
          <w:b/>
          <w:szCs w:val="24"/>
          <w:highlight w:val="yellow"/>
        </w:rPr>
        <w:t>,</w:t>
      </w:r>
      <w:r w:rsidR="0010544F" w:rsidRPr="00DF57A0">
        <w:rPr>
          <w:rFonts w:ascii="Times New Roman" w:hAnsi="Times New Roman"/>
          <w:b/>
          <w:szCs w:val="24"/>
          <w:highlight w:val="yellow"/>
        </w:rPr>
        <w:t>00</w:t>
      </w:r>
      <w:r w:rsidR="008671AC" w:rsidRPr="00DF57A0">
        <w:rPr>
          <w:rFonts w:ascii="Times New Roman" w:hAnsi="Times New Roman"/>
          <w:b/>
          <w:szCs w:val="24"/>
          <w:highlight w:val="yellow"/>
        </w:rPr>
        <w:t>0</w:t>
      </w:r>
    </w:p>
    <w:p w:rsidR="005806BB" w:rsidRPr="00431FF9" w:rsidRDefault="005806BB" w:rsidP="00BE3739">
      <w:pPr>
        <w:pStyle w:val="BodyText"/>
        <w:numPr>
          <w:ilvl w:val="0"/>
          <w:numId w:val="2"/>
        </w:numPr>
        <w:rPr>
          <w:rFonts w:ascii="Times New Roman" w:hAnsi="Times New Roman"/>
          <w:szCs w:val="24"/>
        </w:rPr>
      </w:pPr>
      <w:r w:rsidRPr="00431FF9">
        <w:rPr>
          <w:rFonts w:ascii="Times New Roman" w:hAnsi="Times New Roman"/>
          <w:b/>
          <w:szCs w:val="24"/>
        </w:rPr>
        <w:t>Advisory Board Expenses</w:t>
      </w:r>
      <w:r w:rsidR="008671AC" w:rsidRPr="00431FF9">
        <w:rPr>
          <w:rFonts w:ascii="Times New Roman" w:hAnsi="Times New Roman"/>
          <w:b/>
          <w:szCs w:val="24"/>
        </w:rPr>
        <w:t>:</w:t>
      </w:r>
      <w:r w:rsidR="008671AC" w:rsidRPr="00431FF9">
        <w:rPr>
          <w:rFonts w:ascii="Times New Roman" w:hAnsi="Times New Roman"/>
          <w:szCs w:val="24"/>
        </w:rPr>
        <w:t xml:space="preserve">  </w:t>
      </w:r>
      <w:r w:rsidR="007043FA" w:rsidRPr="00431FF9">
        <w:rPr>
          <w:rFonts w:ascii="Times New Roman" w:hAnsi="Times New Roman"/>
          <w:szCs w:val="24"/>
        </w:rPr>
        <w:t>Food and r</w:t>
      </w:r>
      <w:r w:rsidR="00022CE4" w:rsidRPr="00431FF9">
        <w:rPr>
          <w:rFonts w:ascii="Times New Roman" w:hAnsi="Times New Roman"/>
          <w:szCs w:val="24"/>
        </w:rPr>
        <w:t>elated expenses will be</w:t>
      </w:r>
      <w:r w:rsidR="00735BDE" w:rsidRPr="00431FF9">
        <w:rPr>
          <w:rFonts w:ascii="Times New Roman" w:hAnsi="Times New Roman"/>
          <w:szCs w:val="24"/>
        </w:rPr>
        <w:t xml:space="preserve"> covered for Advisory Committee meetings</w:t>
      </w:r>
      <w:r w:rsidR="00022CE4" w:rsidRPr="00431FF9">
        <w:rPr>
          <w:rFonts w:ascii="Times New Roman" w:hAnsi="Times New Roman"/>
          <w:szCs w:val="24"/>
        </w:rPr>
        <w:t xml:space="preserve"> (Health Services, Disabilities and Mental Health, School Readiness and ERSEA and Family Engagement).</w:t>
      </w:r>
      <w:r w:rsidR="00DF57A0">
        <w:rPr>
          <w:rFonts w:ascii="Times New Roman" w:hAnsi="Times New Roman"/>
          <w:szCs w:val="24"/>
        </w:rPr>
        <w:t xml:space="preserve"> </w:t>
      </w:r>
      <w:r w:rsidR="00DF57A0" w:rsidRPr="00DF57A0">
        <w:rPr>
          <w:rFonts w:ascii="Times New Roman" w:hAnsi="Times New Roman"/>
          <w:b/>
          <w:szCs w:val="24"/>
          <w:highlight w:val="yellow"/>
        </w:rPr>
        <w:t>$2,5</w:t>
      </w:r>
      <w:r w:rsidR="00FC170B" w:rsidRPr="00DF57A0">
        <w:rPr>
          <w:rFonts w:ascii="Times New Roman" w:hAnsi="Times New Roman"/>
          <w:b/>
          <w:szCs w:val="24"/>
          <w:highlight w:val="yellow"/>
        </w:rPr>
        <w:t>00</w:t>
      </w:r>
    </w:p>
    <w:p w:rsidR="00087A1B" w:rsidRPr="00F569D1" w:rsidRDefault="00087A1B" w:rsidP="00BE3739">
      <w:pPr>
        <w:pStyle w:val="ListParagraph"/>
        <w:numPr>
          <w:ilvl w:val="0"/>
          <w:numId w:val="2"/>
        </w:numPr>
        <w:rPr>
          <w:sz w:val="24"/>
          <w:szCs w:val="24"/>
        </w:rPr>
      </w:pPr>
      <w:r w:rsidRPr="00F569D1">
        <w:rPr>
          <w:b/>
          <w:sz w:val="24"/>
          <w:szCs w:val="24"/>
        </w:rPr>
        <w:t>Technology/Software:</w:t>
      </w:r>
      <w:r w:rsidRPr="00F569D1">
        <w:rPr>
          <w:sz w:val="24"/>
          <w:szCs w:val="24"/>
        </w:rPr>
        <w:t xml:space="preserve">  The budget includes online tracking/reporting services such as ChildPlus and Teaching Strategies Gold. Included is a Child Plus subscription for monitoring purposes, and Teaching Strategies Gold which supports child assessment. The total</w:t>
      </w:r>
      <w:r w:rsidR="000141C1" w:rsidRPr="00F569D1">
        <w:rPr>
          <w:sz w:val="24"/>
          <w:szCs w:val="24"/>
        </w:rPr>
        <w:t xml:space="preserve"> budget is </w:t>
      </w:r>
      <w:r w:rsidR="000141C1" w:rsidRPr="00DF57A0">
        <w:rPr>
          <w:b/>
          <w:sz w:val="24"/>
          <w:szCs w:val="24"/>
          <w:highlight w:val="yellow"/>
        </w:rPr>
        <w:t>$</w:t>
      </w:r>
      <w:r w:rsidR="00B05B51">
        <w:rPr>
          <w:b/>
          <w:sz w:val="24"/>
          <w:szCs w:val="24"/>
          <w:highlight w:val="yellow"/>
        </w:rPr>
        <w:t>14</w:t>
      </w:r>
      <w:r w:rsidR="00DF57A0" w:rsidRPr="00DF57A0">
        <w:rPr>
          <w:b/>
          <w:sz w:val="24"/>
          <w:szCs w:val="24"/>
          <w:highlight w:val="yellow"/>
        </w:rPr>
        <w:t>,241</w:t>
      </w:r>
      <w:r w:rsidR="00FC170B" w:rsidRPr="00F569D1">
        <w:rPr>
          <w:sz w:val="24"/>
          <w:szCs w:val="24"/>
        </w:rPr>
        <w:t xml:space="preserve">.  </w:t>
      </w:r>
    </w:p>
    <w:p w:rsidR="005806BB" w:rsidRPr="00431FF9" w:rsidRDefault="005806BB" w:rsidP="00BE3739">
      <w:pPr>
        <w:pStyle w:val="BodyText"/>
        <w:numPr>
          <w:ilvl w:val="0"/>
          <w:numId w:val="2"/>
        </w:numPr>
        <w:rPr>
          <w:rFonts w:ascii="Times New Roman" w:hAnsi="Times New Roman"/>
          <w:szCs w:val="24"/>
        </w:rPr>
      </w:pPr>
      <w:r w:rsidRPr="00431FF9">
        <w:rPr>
          <w:rFonts w:ascii="Times New Roman" w:hAnsi="Times New Roman"/>
          <w:b/>
          <w:szCs w:val="24"/>
        </w:rPr>
        <w:t>Equipment Maintenance</w:t>
      </w:r>
      <w:r w:rsidR="007043FA" w:rsidRPr="00431FF9">
        <w:rPr>
          <w:rFonts w:ascii="Times New Roman" w:hAnsi="Times New Roman"/>
          <w:b/>
          <w:szCs w:val="24"/>
        </w:rPr>
        <w:t xml:space="preserve">:  </w:t>
      </w:r>
      <w:r w:rsidR="007043FA" w:rsidRPr="00431FF9">
        <w:rPr>
          <w:rFonts w:ascii="Times New Roman" w:hAnsi="Times New Roman"/>
          <w:szCs w:val="24"/>
        </w:rPr>
        <w:t xml:space="preserve">Repairs and maintenance </w:t>
      </w:r>
      <w:r w:rsidR="005035B3" w:rsidRPr="00431FF9">
        <w:rPr>
          <w:rFonts w:ascii="Times New Roman" w:hAnsi="Times New Roman"/>
          <w:szCs w:val="24"/>
        </w:rPr>
        <w:t xml:space="preserve">to </w:t>
      </w:r>
      <w:r w:rsidR="006F7446" w:rsidRPr="00431FF9">
        <w:rPr>
          <w:rFonts w:ascii="Times New Roman" w:hAnsi="Times New Roman"/>
          <w:szCs w:val="24"/>
        </w:rPr>
        <w:t xml:space="preserve">equipment such as </w:t>
      </w:r>
      <w:r w:rsidR="007043FA" w:rsidRPr="00431FF9">
        <w:rPr>
          <w:rFonts w:ascii="Times New Roman" w:hAnsi="Times New Roman"/>
          <w:szCs w:val="24"/>
        </w:rPr>
        <w:t>computers, printers and phones</w:t>
      </w:r>
      <w:r w:rsidR="006F7446" w:rsidRPr="00431FF9">
        <w:rPr>
          <w:rFonts w:ascii="Times New Roman" w:hAnsi="Times New Roman"/>
          <w:szCs w:val="24"/>
        </w:rPr>
        <w:t>.</w:t>
      </w:r>
      <w:r w:rsidR="00DF57A0">
        <w:rPr>
          <w:rFonts w:ascii="Times New Roman" w:hAnsi="Times New Roman"/>
          <w:szCs w:val="24"/>
        </w:rPr>
        <w:t xml:space="preserve">  </w:t>
      </w:r>
      <w:r w:rsidR="00B05B51">
        <w:rPr>
          <w:rFonts w:ascii="Times New Roman" w:hAnsi="Times New Roman"/>
          <w:b/>
          <w:szCs w:val="24"/>
          <w:highlight w:val="yellow"/>
        </w:rPr>
        <w:t>$20</w:t>
      </w:r>
      <w:r w:rsidR="00FC170B" w:rsidRPr="00DF57A0">
        <w:rPr>
          <w:rFonts w:ascii="Times New Roman" w:hAnsi="Times New Roman"/>
          <w:b/>
          <w:szCs w:val="24"/>
          <w:highlight w:val="yellow"/>
        </w:rPr>
        <w:t>,000</w:t>
      </w:r>
    </w:p>
    <w:p w:rsidR="005806BB" w:rsidRPr="00CA0961" w:rsidRDefault="005806BB" w:rsidP="00BE3739">
      <w:pPr>
        <w:pStyle w:val="BodyText"/>
        <w:numPr>
          <w:ilvl w:val="0"/>
          <w:numId w:val="2"/>
        </w:numPr>
        <w:rPr>
          <w:rFonts w:ascii="Times New Roman" w:hAnsi="Times New Roman"/>
          <w:szCs w:val="24"/>
        </w:rPr>
      </w:pPr>
      <w:r w:rsidRPr="00431FF9">
        <w:rPr>
          <w:rFonts w:ascii="Times New Roman" w:hAnsi="Times New Roman"/>
          <w:b/>
          <w:szCs w:val="24"/>
        </w:rPr>
        <w:t>Advertising</w:t>
      </w:r>
      <w:r w:rsidR="007043FA" w:rsidRPr="00431FF9">
        <w:rPr>
          <w:rFonts w:ascii="Times New Roman" w:hAnsi="Times New Roman"/>
          <w:b/>
          <w:szCs w:val="24"/>
        </w:rPr>
        <w:t>:</w:t>
      </w:r>
      <w:r w:rsidR="007043FA" w:rsidRPr="00431FF9">
        <w:rPr>
          <w:rFonts w:ascii="Times New Roman" w:hAnsi="Times New Roman"/>
          <w:szCs w:val="24"/>
        </w:rPr>
        <w:t xml:space="preserve">  Funds will cover the cost of brochures, flyers, vehicle magnets, flyers, banners, newspaper and radio and television advertisements. Public Service Announcements will be used whenever possible.</w:t>
      </w:r>
      <w:r w:rsidR="005035B3" w:rsidRPr="00431FF9">
        <w:rPr>
          <w:rFonts w:ascii="Times New Roman" w:hAnsi="Times New Roman"/>
          <w:szCs w:val="24"/>
        </w:rPr>
        <w:t xml:space="preserve"> </w:t>
      </w:r>
      <w:r w:rsidR="00D5096B" w:rsidRPr="00CA0961">
        <w:rPr>
          <w:rFonts w:ascii="Times New Roman" w:hAnsi="Times New Roman"/>
          <w:szCs w:val="24"/>
        </w:rPr>
        <w:t xml:space="preserve">Funds will also be used to cover advertisements for vacant positions. </w:t>
      </w:r>
      <w:r w:rsidR="005035B3" w:rsidRPr="00DF57A0">
        <w:rPr>
          <w:rFonts w:ascii="Times New Roman" w:hAnsi="Times New Roman"/>
          <w:b/>
          <w:szCs w:val="24"/>
          <w:highlight w:val="yellow"/>
        </w:rPr>
        <w:t>$</w:t>
      </w:r>
      <w:r w:rsidR="00DF57A0" w:rsidRPr="00DF57A0">
        <w:rPr>
          <w:rFonts w:ascii="Times New Roman" w:hAnsi="Times New Roman"/>
          <w:b/>
          <w:szCs w:val="24"/>
          <w:highlight w:val="yellow"/>
        </w:rPr>
        <w:t>3,500</w:t>
      </w:r>
      <w:r w:rsidR="00DF57A0">
        <w:rPr>
          <w:rFonts w:ascii="Times New Roman" w:hAnsi="Times New Roman"/>
          <w:szCs w:val="24"/>
        </w:rPr>
        <w:t>.</w:t>
      </w:r>
    </w:p>
    <w:p w:rsidR="00FA7B57" w:rsidRDefault="00FA7B57" w:rsidP="00BE3739">
      <w:pPr>
        <w:pStyle w:val="BodyText"/>
        <w:numPr>
          <w:ilvl w:val="0"/>
          <w:numId w:val="2"/>
        </w:numPr>
        <w:rPr>
          <w:rFonts w:ascii="Times New Roman" w:hAnsi="Times New Roman"/>
          <w:szCs w:val="24"/>
        </w:rPr>
      </w:pPr>
      <w:r w:rsidRPr="00431FF9">
        <w:rPr>
          <w:rFonts w:ascii="Times New Roman" w:hAnsi="Times New Roman"/>
          <w:b/>
          <w:szCs w:val="24"/>
        </w:rPr>
        <w:t>Office Supplies:</w:t>
      </w:r>
      <w:r w:rsidRPr="00431FF9">
        <w:rPr>
          <w:rFonts w:ascii="Times New Roman" w:hAnsi="Times New Roman"/>
          <w:szCs w:val="24"/>
        </w:rPr>
        <w:t xml:space="preserve"> Office supplies include paper, file supplies, writing utensils, ink cartridges, and other general items used to maintain an office.  </w:t>
      </w:r>
      <w:r w:rsidRPr="00DF57A0">
        <w:rPr>
          <w:rFonts w:ascii="Times New Roman" w:hAnsi="Times New Roman"/>
          <w:b/>
          <w:szCs w:val="24"/>
          <w:highlight w:val="yellow"/>
        </w:rPr>
        <w:t>$</w:t>
      </w:r>
      <w:r w:rsidR="007C6F11">
        <w:rPr>
          <w:rFonts w:ascii="Times New Roman" w:hAnsi="Times New Roman"/>
          <w:b/>
          <w:szCs w:val="24"/>
          <w:highlight w:val="yellow"/>
        </w:rPr>
        <w:t>7</w:t>
      </w:r>
      <w:r w:rsidR="002A7F3D" w:rsidRPr="00DF57A0">
        <w:rPr>
          <w:rFonts w:ascii="Times New Roman" w:hAnsi="Times New Roman"/>
          <w:b/>
          <w:szCs w:val="24"/>
          <w:highlight w:val="yellow"/>
        </w:rPr>
        <w:t>,500</w:t>
      </w:r>
      <w:r w:rsidR="002A7F3D">
        <w:rPr>
          <w:rFonts w:ascii="Times New Roman" w:hAnsi="Times New Roman"/>
          <w:szCs w:val="24"/>
        </w:rPr>
        <w:t>.</w:t>
      </w:r>
    </w:p>
    <w:p w:rsidR="004068EC" w:rsidRDefault="00DF57A0" w:rsidP="00BE3739">
      <w:pPr>
        <w:pStyle w:val="BodyText"/>
        <w:numPr>
          <w:ilvl w:val="0"/>
          <w:numId w:val="2"/>
        </w:numPr>
        <w:rPr>
          <w:rFonts w:ascii="Times New Roman" w:hAnsi="Times New Roman"/>
          <w:szCs w:val="24"/>
        </w:rPr>
      </w:pPr>
      <w:r>
        <w:rPr>
          <w:rFonts w:ascii="Times New Roman" w:hAnsi="Times New Roman"/>
          <w:b/>
          <w:szCs w:val="24"/>
        </w:rPr>
        <w:t>Staff Development</w:t>
      </w:r>
      <w:r w:rsidR="004068EC">
        <w:rPr>
          <w:rFonts w:ascii="Times New Roman" w:hAnsi="Times New Roman"/>
          <w:b/>
          <w:szCs w:val="24"/>
        </w:rPr>
        <w:t xml:space="preserve"> and Trainings/Meetings/Workshops: </w:t>
      </w:r>
      <w:r w:rsidR="004068EC">
        <w:rPr>
          <w:rFonts w:ascii="Times New Roman" w:hAnsi="Times New Roman"/>
          <w:szCs w:val="24"/>
        </w:rPr>
        <w:t xml:space="preserve"> This is for additional meetings that may be required by Agency partners and/or funders that aren’t </w:t>
      </w:r>
      <w:r>
        <w:rPr>
          <w:rFonts w:ascii="Times New Roman" w:hAnsi="Times New Roman"/>
          <w:szCs w:val="24"/>
        </w:rPr>
        <w:t xml:space="preserve">covered in the T&amp;TA plan. </w:t>
      </w:r>
      <w:r w:rsidR="007C6F11">
        <w:rPr>
          <w:rFonts w:ascii="Times New Roman" w:hAnsi="Times New Roman"/>
          <w:b/>
          <w:szCs w:val="24"/>
          <w:highlight w:val="yellow"/>
        </w:rPr>
        <w:t>$4</w:t>
      </w:r>
      <w:r w:rsidR="009E4595">
        <w:rPr>
          <w:rFonts w:ascii="Times New Roman" w:hAnsi="Times New Roman"/>
          <w:b/>
          <w:szCs w:val="24"/>
          <w:highlight w:val="yellow"/>
        </w:rPr>
        <w:t>,0</w:t>
      </w:r>
      <w:r w:rsidRPr="00DF57A0">
        <w:rPr>
          <w:rFonts w:ascii="Times New Roman" w:hAnsi="Times New Roman"/>
          <w:b/>
          <w:szCs w:val="24"/>
          <w:highlight w:val="yellow"/>
        </w:rPr>
        <w:t>00</w:t>
      </w:r>
      <w:r w:rsidR="004068EC">
        <w:rPr>
          <w:rFonts w:ascii="Times New Roman" w:hAnsi="Times New Roman"/>
          <w:szCs w:val="24"/>
        </w:rPr>
        <w:t>.</w:t>
      </w:r>
    </w:p>
    <w:p w:rsidR="009E4595" w:rsidRDefault="009E4595" w:rsidP="00BE3739">
      <w:pPr>
        <w:pStyle w:val="BodyText"/>
        <w:numPr>
          <w:ilvl w:val="0"/>
          <w:numId w:val="2"/>
        </w:numPr>
        <w:rPr>
          <w:rFonts w:ascii="Times New Roman" w:hAnsi="Times New Roman"/>
          <w:szCs w:val="24"/>
        </w:rPr>
      </w:pPr>
      <w:r>
        <w:rPr>
          <w:rFonts w:ascii="Times New Roman" w:hAnsi="Times New Roman"/>
          <w:b/>
          <w:szCs w:val="24"/>
        </w:rPr>
        <w:lastRenderedPageBreak/>
        <w:t>Raw Food:</w:t>
      </w:r>
      <w:r>
        <w:rPr>
          <w:rFonts w:ascii="Times New Roman" w:hAnsi="Times New Roman"/>
          <w:szCs w:val="24"/>
        </w:rPr>
        <w:t xml:space="preserve">  Students meals and snacks are served family style.  Teachers and Teacher Assistants eat with the children.  Their meals aren’t reimbursed by the Child Care Food Program so it is a Head Start expense</w:t>
      </w:r>
      <w:r w:rsidR="007C6F11">
        <w:rPr>
          <w:rFonts w:ascii="Times New Roman" w:hAnsi="Times New Roman"/>
          <w:b/>
          <w:szCs w:val="24"/>
          <w:highlight w:val="yellow"/>
        </w:rPr>
        <w:t>.  $</w:t>
      </w:r>
      <w:r w:rsidR="007C6F11" w:rsidRPr="007C6F11">
        <w:rPr>
          <w:rFonts w:ascii="Times New Roman" w:hAnsi="Times New Roman"/>
          <w:b/>
          <w:szCs w:val="24"/>
          <w:highlight w:val="yellow"/>
        </w:rPr>
        <w:t>17,313</w:t>
      </w:r>
    </w:p>
    <w:p w:rsidR="009E4595" w:rsidRDefault="009E4595" w:rsidP="00BE3739">
      <w:pPr>
        <w:pStyle w:val="BodyText"/>
        <w:numPr>
          <w:ilvl w:val="0"/>
          <w:numId w:val="2"/>
        </w:numPr>
        <w:rPr>
          <w:rFonts w:ascii="Times New Roman" w:hAnsi="Times New Roman"/>
          <w:szCs w:val="24"/>
        </w:rPr>
      </w:pPr>
      <w:r>
        <w:rPr>
          <w:rFonts w:ascii="Times New Roman" w:hAnsi="Times New Roman"/>
          <w:b/>
          <w:szCs w:val="24"/>
        </w:rPr>
        <w:t>Special Events:</w:t>
      </w:r>
      <w:r>
        <w:rPr>
          <w:rFonts w:ascii="Times New Roman" w:hAnsi="Times New Roman"/>
          <w:szCs w:val="24"/>
        </w:rPr>
        <w:t xml:space="preserve">  </w:t>
      </w:r>
      <w:r w:rsidR="00454D0E">
        <w:rPr>
          <w:rFonts w:ascii="Times New Roman" w:hAnsi="Times New Roman"/>
          <w:szCs w:val="24"/>
        </w:rPr>
        <w:t xml:space="preserve">Each of the 21 classrooms </w:t>
      </w:r>
      <w:proofErr w:type="gramStart"/>
      <w:r w:rsidR="00454D0E">
        <w:rPr>
          <w:rFonts w:ascii="Times New Roman" w:hAnsi="Times New Roman"/>
          <w:szCs w:val="24"/>
        </w:rPr>
        <w:t>are</w:t>
      </w:r>
      <w:proofErr w:type="gramEnd"/>
      <w:r w:rsidR="00454D0E">
        <w:rPr>
          <w:rFonts w:ascii="Times New Roman" w:hAnsi="Times New Roman"/>
          <w:szCs w:val="24"/>
        </w:rPr>
        <w:t xml:space="preserve"> allowed one special field trip annually that may require a fee</w:t>
      </w:r>
      <w:r w:rsidR="00454D0E" w:rsidRPr="00454D0E">
        <w:rPr>
          <w:rFonts w:ascii="Times New Roman" w:hAnsi="Times New Roman"/>
          <w:szCs w:val="24"/>
          <w:highlight w:val="yellow"/>
        </w:rPr>
        <w:t xml:space="preserve">.  </w:t>
      </w:r>
      <w:r w:rsidR="00454D0E" w:rsidRPr="00454D0E">
        <w:rPr>
          <w:rFonts w:ascii="Times New Roman" w:hAnsi="Times New Roman"/>
          <w:b/>
          <w:szCs w:val="24"/>
          <w:highlight w:val="yellow"/>
        </w:rPr>
        <w:t>$2,100</w:t>
      </w:r>
    </w:p>
    <w:p w:rsidR="004068EC" w:rsidRPr="00431FF9" w:rsidRDefault="004068EC" w:rsidP="004068EC">
      <w:pPr>
        <w:pStyle w:val="BodyText"/>
        <w:ind w:left="720"/>
        <w:rPr>
          <w:rFonts w:ascii="Times New Roman" w:hAnsi="Times New Roman"/>
          <w:szCs w:val="24"/>
        </w:rPr>
      </w:pPr>
    </w:p>
    <w:p w:rsidR="00B7524C" w:rsidRPr="00BE3739" w:rsidRDefault="00B7524C" w:rsidP="00BE3739">
      <w:pPr>
        <w:pStyle w:val="BodyText"/>
        <w:rPr>
          <w:rFonts w:ascii="Times New Roman" w:hAnsi="Times New Roman"/>
          <w:b/>
          <w:bCs/>
          <w:szCs w:val="24"/>
        </w:rPr>
      </w:pPr>
    </w:p>
    <w:p w:rsidR="00736FCC" w:rsidRPr="004068EC" w:rsidRDefault="00736FCC" w:rsidP="00BE3739">
      <w:pPr>
        <w:pStyle w:val="BodyText"/>
        <w:rPr>
          <w:rFonts w:ascii="Times New Roman" w:hAnsi="Times New Roman"/>
          <w:b/>
          <w:szCs w:val="24"/>
        </w:rPr>
      </w:pPr>
      <w:r w:rsidRPr="00F416BA">
        <w:rPr>
          <w:rFonts w:ascii="Times New Roman" w:hAnsi="Times New Roman"/>
          <w:b/>
          <w:szCs w:val="24"/>
        </w:rPr>
        <w:t xml:space="preserve">Training and Technical Assistance </w:t>
      </w:r>
      <w:r w:rsidR="00241F37" w:rsidRPr="00F416BA">
        <w:rPr>
          <w:rFonts w:ascii="Times New Roman" w:hAnsi="Times New Roman"/>
          <w:b/>
          <w:szCs w:val="24"/>
        </w:rPr>
        <w:t>Plan –</w:t>
      </w:r>
      <w:r w:rsidR="002A7F3D">
        <w:rPr>
          <w:rFonts w:ascii="Times New Roman" w:hAnsi="Times New Roman"/>
          <w:b/>
          <w:szCs w:val="24"/>
        </w:rPr>
        <w:t xml:space="preserve"> </w:t>
      </w:r>
      <w:r w:rsidR="002A7F3D" w:rsidRPr="00757A90">
        <w:rPr>
          <w:rFonts w:ascii="Times New Roman" w:hAnsi="Times New Roman"/>
          <w:b/>
          <w:szCs w:val="24"/>
          <w:highlight w:val="yellow"/>
        </w:rPr>
        <w:t>$40,998</w:t>
      </w:r>
      <w:r w:rsidRPr="00F416BA">
        <w:rPr>
          <w:rFonts w:ascii="Times New Roman" w:hAnsi="Times New Roman"/>
          <w:b/>
          <w:szCs w:val="24"/>
        </w:rPr>
        <w:t xml:space="preserve"> </w:t>
      </w:r>
      <w:r w:rsidR="00741388" w:rsidRPr="00F416BA">
        <w:rPr>
          <w:rFonts w:ascii="Times New Roman" w:hAnsi="Times New Roman"/>
          <w:b/>
          <w:szCs w:val="24"/>
        </w:rPr>
        <w:t>&gt;</w:t>
      </w:r>
      <w:r w:rsidRPr="00F416BA">
        <w:rPr>
          <w:rFonts w:ascii="Times New Roman" w:hAnsi="Times New Roman"/>
          <w:b/>
          <w:szCs w:val="24"/>
        </w:rPr>
        <w:t>1% of Budget</w:t>
      </w:r>
      <w:r w:rsidR="004068EC">
        <w:rPr>
          <w:rFonts w:ascii="Times New Roman" w:hAnsi="Times New Roman"/>
          <w:b/>
          <w:szCs w:val="24"/>
        </w:rPr>
        <w:t xml:space="preserve">:  </w:t>
      </w:r>
      <w:r w:rsidRPr="004068EC">
        <w:rPr>
          <w:rFonts w:ascii="Times New Roman" w:hAnsi="Times New Roman"/>
          <w:szCs w:val="24"/>
        </w:rPr>
        <w:t>Training and Technical Assistance</w:t>
      </w:r>
      <w:r w:rsidR="00F114C1">
        <w:rPr>
          <w:rFonts w:ascii="Times New Roman" w:hAnsi="Times New Roman"/>
          <w:szCs w:val="24"/>
        </w:rPr>
        <w:t xml:space="preserve"> dollars of $40,998</w:t>
      </w:r>
      <w:r w:rsidRPr="00F416BA">
        <w:rPr>
          <w:rFonts w:ascii="Times New Roman" w:hAnsi="Times New Roman"/>
          <w:szCs w:val="24"/>
        </w:rPr>
        <w:t xml:space="preserve"> will be used to support the annual Staff Development Plan. The allocation of these dollars is reflected in the attached narrative and plan. A summary of anticipated activities includes: </w:t>
      </w:r>
    </w:p>
    <w:p w:rsidR="00736FCC" w:rsidRPr="00F416BA" w:rsidRDefault="00736FCC" w:rsidP="00BE3739">
      <w:pPr>
        <w:pStyle w:val="NoSpacing"/>
        <w:rPr>
          <w:sz w:val="24"/>
          <w:szCs w:val="24"/>
        </w:rPr>
      </w:pPr>
    </w:p>
    <w:tbl>
      <w:tblPr>
        <w:tblStyle w:val="TableGrid"/>
        <w:tblW w:w="0" w:type="auto"/>
        <w:tblInd w:w="720" w:type="dxa"/>
        <w:tblLook w:val="04A0" w:firstRow="1" w:lastRow="0" w:firstColumn="1" w:lastColumn="0" w:noHBand="0" w:noVBand="1"/>
      </w:tblPr>
      <w:tblGrid>
        <w:gridCol w:w="6948"/>
        <w:gridCol w:w="1908"/>
      </w:tblGrid>
      <w:tr w:rsidR="00736FCC" w:rsidRPr="00F416BA" w:rsidTr="00BE3739">
        <w:trPr>
          <w:tblHeader/>
        </w:trPr>
        <w:tc>
          <w:tcPr>
            <w:tcW w:w="6948" w:type="dxa"/>
            <w:shd w:val="clear" w:color="auto" w:fill="D9D9D9" w:themeFill="background1" w:themeFillShade="D9"/>
          </w:tcPr>
          <w:p w:rsidR="00736FCC" w:rsidRPr="00F416BA" w:rsidRDefault="00736FCC" w:rsidP="00BE3739">
            <w:pPr>
              <w:pStyle w:val="NoSpacing"/>
              <w:jc w:val="center"/>
              <w:rPr>
                <w:b/>
                <w:sz w:val="24"/>
                <w:szCs w:val="24"/>
              </w:rPr>
            </w:pPr>
            <w:r w:rsidRPr="00F416BA">
              <w:rPr>
                <w:b/>
                <w:sz w:val="24"/>
                <w:szCs w:val="24"/>
              </w:rPr>
              <w:t>Activity</w:t>
            </w:r>
          </w:p>
        </w:tc>
        <w:tc>
          <w:tcPr>
            <w:tcW w:w="1908" w:type="dxa"/>
            <w:shd w:val="clear" w:color="auto" w:fill="D9D9D9" w:themeFill="background1" w:themeFillShade="D9"/>
          </w:tcPr>
          <w:p w:rsidR="00736FCC" w:rsidRPr="00F416BA" w:rsidRDefault="00736FCC" w:rsidP="00BE3739">
            <w:pPr>
              <w:pStyle w:val="NoSpacing"/>
              <w:jc w:val="center"/>
              <w:rPr>
                <w:b/>
                <w:sz w:val="24"/>
                <w:szCs w:val="24"/>
              </w:rPr>
            </w:pPr>
            <w:r w:rsidRPr="00F416BA">
              <w:rPr>
                <w:b/>
                <w:sz w:val="24"/>
                <w:szCs w:val="24"/>
              </w:rPr>
              <w:t>Amount</w:t>
            </w:r>
          </w:p>
        </w:tc>
      </w:tr>
      <w:tr w:rsidR="00736FCC" w:rsidRPr="00F416BA" w:rsidTr="00E67AF4">
        <w:tc>
          <w:tcPr>
            <w:tcW w:w="6948" w:type="dxa"/>
          </w:tcPr>
          <w:p w:rsidR="00736FCC" w:rsidRPr="00F416BA" w:rsidRDefault="00736FCC" w:rsidP="00BE3739">
            <w:pPr>
              <w:pStyle w:val="NoSpacing"/>
              <w:rPr>
                <w:sz w:val="24"/>
                <w:szCs w:val="24"/>
              </w:rPr>
            </w:pPr>
            <w:r w:rsidRPr="00F416BA">
              <w:rPr>
                <w:sz w:val="24"/>
                <w:szCs w:val="24"/>
              </w:rPr>
              <w:t>CLASS, Teaching Strategies Gold and the Creative Curriculum</w:t>
            </w:r>
          </w:p>
        </w:tc>
        <w:tc>
          <w:tcPr>
            <w:tcW w:w="1908" w:type="dxa"/>
          </w:tcPr>
          <w:p w:rsidR="00736FCC" w:rsidRPr="00F416BA" w:rsidRDefault="00CC14E9" w:rsidP="00BE3739">
            <w:pPr>
              <w:pStyle w:val="NoSpacing"/>
              <w:jc w:val="right"/>
              <w:rPr>
                <w:sz w:val="24"/>
                <w:szCs w:val="24"/>
              </w:rPr>
            </w:pPr>
            <w:r>
              <w:rPr>
                <w:sz w:val="24"/>
                <w:szCs w:val="24"/>
              </w:rPr>
              <w:t>1,00</w:t>
            </w:r>
            <w:r w:rsidR="00F32498" w:rsidRPr="00F416BA">
              <w:rPr>
                <w:sz w:val="24"/>
                <w:szCs w:val="24"/>
              </w:rPr>
              <w:t>0</w:t>
            </w:r>
          </w:p>
        </w:tc>
      </w:tr>
      <w:tr w:rsidR="00736FCC" w:rsidRPr="00F416BA" w:rsidTr="00E67AF4">
        <w:tc>
          <w:tcPr>
            <w:tcW w:w="6948" w:type="dxa"/>
          </w:tcPr>
          <w:p w:rsidR="00736FCC" w:rsidRPr="00F416BA" w:rsidRDefault="00736FCC" w:rsidP="00BE3739">
            <w:pPr>
              <w:pStyle w:val="NoSpacing"/>
              <w:rPr>
                <w:sz w:val="24"/>
                <w:szCs w:val="24"/>
              </w:rPr>
            </w:pPr>
            <w:r w:rsidRPr="00F416BA">
              <w:rPr>
                <w:sz w:val="24"/>
                <w:szCs w:val="24"/>
              </w:rPr>
              <w:t>ChildPlus</w:t>
            </w:r>
          </w:p>
        </w:tc>
        <w:tc>
          <w:tcPr>
            <w:tcW w:w="1908" w:type="dxa"/>
          </w:tcPr>
          <w:p w:rsidR="00736FCC" w:rsidRPr="00F416BA" w:rsidRDefault="00F914D0" w:rsidP="00BE3739">
            <w:pPr>
              <w:pStyle w:val="NoSpacing"/>
              <w:jc w:val="right"/>
              <w:rPr>
                <w:sz w:val="24"/>
                <w:szCs w:val="24"/>
              </w:rPr>
            </w:pPr>
            <w:r>
              <w:rPr>
                <w:sz w:val="24"/>
                <w:szCs w:val="24"/>
              </w:rPr>
              <w:t>3,050</w:t>
            </w:r>
          </w:p>
        </w:tc>
      </w:tr>
      <w:tr w:rsidR="00736FCC" w:rsidRPr="00F416BA" w:rsidTr="00E67AF4">
        <w:tc>
          <w:tcPr>
            <w:tcW w:w="6948" w:type="dxa"/>
          </w:tcPr>
          <w:p w:rsidR="00736FCC" w:rsidRPr="00F416BA" w:rsidRDefault="00736FCC" w:rsidP="00BE3739">
            <w:pPr>
              <w:pStyle w:val="NoSpacing"/>
              <w:rPr>
                <w:sz w:val="24"/>
                <w:szCs w:val="24"/>
              </w:rPr>
            </w:pPr>
            <w:r w:rsidRPr="00F416BA">
              <w:rPr>
                <w:sz w:val="24"/>
                <w:szCs w:val="24"/>
              </w:rPr>
              <w:t>Parent, Family and Community Engagement</w:t>
            </w:r>
          </w:p>
        </w:tc>
        <w:tc>
          <w:tcPr>
            <w:tcW w:w="1908" w:type="dxa"/>
          </w:tcPr>
          <w:p w:rsidR="00736FCC" w:rsidRPr="00F416BA" w:rsidRDefault="00CC14E9" w:rsidP="00BE3739">
            <w:pPr>
              <w:pStyle w:val="NoSpacing"/>
              <w:jc w:val="right"/>
              <w:rPr>
                <w:sz w:val="24"/>
                <w:szCs w:val="24"/>
              </w:rPr>
            </w:pPr>
            <w:r>
              <w:rPr>
                <w:sz w:val="24"/>
                <w:szCs w:val="24"/>
              </w:rPr>
              <w:t>8,169</w:t>
            </w:r>
          </w:p>
        </w:tc>
      </w:tr>
      <w:tr w:rsidR="00736FCC" w:rsidRPr="00F416BA" w:rsidTr="00E67AF4">
        <w:tc>
          <w:tcPr>
            <w:tcW w:w="6948" w:type="dxa"/>
          </w:tcPr>
          <w:p w:rsidR="00736FCC" w:rsidRPr="00F416BA" w:rsidRDefault="00736FCC" w:rsidP="00BE3739">
            <w:pPr>
              <w:pStyle w:val="NoSpacing"/>
              <w:rPr>
                <w:sz w:val="24"/>
                <w:szCs w:val="24"/>
              </w:rPr>
            </w:pPr>
            <w:r w:rsidRPr="00F416BA">
              <w:rPr>
                <w:sz w:val="24"/>
                <w:szCs w:val="24"/>
              </w:rPr>
              <w:t>In-service and pre-service training</w:t>
            </w:r>
          </w:p>
        </w:tc>
        <w:tc>
          <w:tcPr>
            <w:tcW w:w="1908" w:type="dxa"/>
          </w:tcPr>
          <w:p w:rsidR="00736FCC" w:rsidRPr="00F416BA" w:rsidRDefault="00CC14E9" w:rsidP="00015A8B">
            <w:pPr>
              <w:pStyle w:val="NoSpacing"/>
              <w:jc w:val="right"/>
              <w:rPr>
                <w:sz w:val="24"/>
                <w:szCs w:val="24"/>
              </w:rPr>
            </w:pPr>
            <w:r>
              <w:rPr>
                <w:sz w:val="24"/>
                <w:szCs w:val="24"/>
              </w:rPr>
              <w:t>2,711</w:t>
            </w:r>
          </w:p>
        </w:tc>
      </w:tr>
      <w:tr w:rsidR="00736FCC" w:rsidRPr="00F416BA" w:rsidTr="00E67AF4">
        <w:tc>
          <w:tcPr>
            <w:tcW w:w="6948" w:type="dxa"/>
          </w:tcPr>
          <w:p w:rsidR="00736FCC" w:rsidRPr="00F416BA" w:rsidRDefault="00736FCC" w:rsidP="00BE3739">
            <w:pPr>
              <w:pStyle w:val="NoSpacing"/>
              <w:rPr>
                <w:sz w:val="24"/>
                <w:szCs w:val="24"/>
              </w:rPr>
            </w:pPr>
            <w:r w:rsidRPr="00F416BA">
              <w:rPr>
                <w:sz w:val="24"/>
                <w:szCs w:val="24"/>
              </w:rPr>
              <w:t>First Aid and CPR</w:t>
            </w:r>
          </w:p>
        </w:tc>
        <w:tc>
          <w:tcPr>
            <w:tcW w:w="1908" w:type="dxa"/>
          </w:tcPr>
          <w:p w:rsidR="00736FCC" w:rsidRPr="00F416BA" w:rsidRDefault="00B526DC" w:rsidP="00BE3739">
            <w:pPr>
              <w:pStyle w:val="NoSpacing"/>
              <w:jc w:val="right"/>
              <w:rPr>
                <w:sz w:val="24"/>
                <w:szCs w:val="24"/>
              </w:rPr>
            </w:pPr>
            <w:r>
              <w:rPr>
                <w:sz w:val="24"/>
                <w:szCs w:val="24"/>
              </w:rPr>
              <w:t>1,350</w:t>
            </w:r>
          </w:p>
        </w:tc>
      </w:tr>
      <w:tr w:rsidR="00736FCC" w:rsidRPr="00F416BA" w:rsidTr="00E67AF4">
        <w:tc>
          <w:tcPr>
            <w:tcW w:w="6948" w:type="dxa"/>
          </w:tcPr>
          <w:p w:rsidR="00736FCC" w:rsidRPr="00F416BA" w:rsidRDefault="00B526DC" w:rsidP="00BE3739">
            <w:pPr>
              <w:pStyle w:val="NoSpacing"/>
              <w:rPr>
                <w:sz w:val="24"/>
                <w:szCs w:val="24"/>
              </w:rPr>
            </w:pPr>
            <w:r>
              <w:rPr>
                <w:sz w:val="24"/>
                <w:szCs w:val="24"/>
              </w:rPr>
              <w:t>Health Managers/Comprehensive Health Car Trainings</w:t>
            </w:r>
          </w:p>
        </w:tc>
        <w:tc>
          <w:tcPr>
            <w:tcW w:w="1908" w:type="dxa"/>
          </w:tcPr>
          <w:p w:rsidR="00736FCC" w:rsidRPr="00F416BA" w:rsidRDefault="00CC14E9" w:rsidP="00CC14E9">
            <w:pPr>
              <w:pStyle w:val="NoSpacing"/>
              <w:jc w:val="right"/>
              <w:rPr>
                <w:sz w:val="24"/>
                <w:szCs w:val="24"/>
              </w:rPr>
            </w:pPr>
            <w:r>
              <w:rPr>
                <w:sz w:val="24"/>
                <w:szCs w:val="24"/>
              </w:rPr>
              <w:t>1,900</w:t>
            </w:r>
          </w:p>
        </w:tc>
      </w:tr>
      <w:tr w:rsidR="00736FCC" w:rsidRPr="00F416BA" w:rsidTr="00E67AF4">
        <w:tc>
          <w:tcPr>
            <w:tcW w:w="6948" w:type="dxa"/>
          </w:tcPr>
          <w:p w:rsidR="00736FCC" w:rsidRPr="00F416BA" w:rsidRDefault="00F914D0" w:rsidP="00BE3739">
            <w:pPr>
              <w:pStyle w:val="NoSpacing"/>
              <w:rPr>
                <w:sz w:val="24"/>
                <w:szCs w:val="24"/>
              </w:rPr>
            </w:pPr>
            <w:r>
              <w:rPr>
                <w:sz w:val="24"/>
                <w:szCs w:val="24"/>
              </w:rPr>
              <w:t>Training for Center Directors</w:t>
            </w:r>
          </w:p>
        </w:tc>
        <w:tc>
          <w:tcPr>
            <w:tcW w:w="1908" w:type="dxa"/>
          </w:tcPr>
          <w:p w:rsidR="00736FCC" w:rsidRPr="00F416BA" w:rsidRDefault="00F914D0" w:rsidP="00BE3739">
            <w:pPr>
              <w:pStyle w:val="NoSpacing"/>
              <w:jc w:val="right"/>
              <w:rPr>
                <w:sz w:val="24"/>
                <w:szCs w:val="24"/>
              </w:rPr>
            </w:pPr>
            <w:r>
              <w:rPr>
                <w:sz w:val="24"/>
                <w:szCs w:val="24"/>
              </w:rPr>
              <w:t>6,000</w:t>
            </w:r>
          </w:p>
        </w:tc>
      </w:tr>
      <w:tr w:rsidR="00736FCC" w:rsidRPr="00F416BA" w:rsidTr="00E67AF4">
        <w:tc>
          <w:tcPr>
            <w:tcW w:w="6948" w:type="dxa"/>
          </w:tcPr>
          <w:p w:rsidR="00736FCC" w:rsidRPr="00F416BA" w:rsidRDefault="00736FCC" w:rsidP="00BE3739">
            <w:pPr>
              <w:pStyle w:val="NoSpacing"/>
              <w:rPr>
                <w:sz w:val="24"/>
                <w:szCs w:val="24"/>
              </w:rPr>
            </w:pPr>
            <w:r w:rsidRPr="00F416BA">
              <w:rPr>
                <w:sz w:val="24"/>
                <w:szCs w:val="24"/>
              </w:rPr>
              <w:t>Higher Education for Staff</w:t>
            </w:r>
            <w:r w:rsidR="00B526DC">
              <w:rPr>
                <w:sz w:val="24"/>
                <w:szCs w:val="24"/>
              </w:rPr>
              <w:t xml:space="preserve"> </w:t>
            </w:r>
            <w:r w:rsidR="006E41AB">
              <w:rPr>
                <w:sz w:val="24"/>
                <w:szCs w:val="24"/>
              </w:rPr>
              <w:t>though</w:t>
            </w:r>
            <w:r w:rsidR="00B526DC">
              <w:rPr>
                <w:sz w:val="24"/>
                <w:szCs w:val="24"/>
              </w:rPr>
              <w:t xml:space="preserve"> Florida TEACH program</w:t>
            </w:r>
          </w:p>
        </w:tc>
        <w:tc>
          <w:tcPr>
            <w:tcW w:w="1908" w:type="dxa"/>
          </w:tcPr>
          <w:p w:rsidR="00736FCC" w:rsidRPr="00F416BA" w:rsidRDefault="00CC14E9" w:rsidP="00BE3739">
            <w:pPr>
              <w:pStyle w:val="NoSpacing"/>
              <w:jc w:val="right"/>
              <w:rPr>
                <w:sz w:val="24"/>
                <w:szCs w:val="24"/>
              </w:rPr>
            </w:pPr>
            <w:r>
              <w:rPr>
                <w:sz w:val="24"/>
                <w:szCs w:val="24"/>
              </w:rPr>
              <w:t>5,0</w:t>
            </w:r>
            <w:r w:rsidR="00736FCC" w:rsidRPr="00F416BA">
              <w:rPr>
                <w:sz w:val="24"/>
                <w:szCs w:val="24"/>
              </w:rPr>
              <w:t>00</w:t>
            </w:r>
          </w:p>
        </w:tc>
      </w:tr>
      <w:tr w:rsidR="00BE558F" w:rsidRPr="00F416BA" w:rsidTr="00E67AF4">
        <w:tc>
          <w:tcPr>
            <w:tcW w:w="6948" w:type="dxa"/>
          </w:tcPr>
          <w:p w:rsidR="00BE558F" w:rsidRPr="00F416BA" w:rsidRDefault="00F914D0" w:rsidP="00BE3739">
            <w:pPr>
              <w:pStyle w:val="NoSpacing"/>
              <w:rPr>
                <w:sz w:val="24"/>
                <w:szCs w:val="24"/>
              </w:rPr>
            </w:pPr>
            <w:r>
              <w:rPr>
                <w:sz w:val="24"/>
                <w:szCs w:val="24"/>
              </w:rPr>
              <w:t xml:space="preserve">FL Head Start </w:t>
            </w:r>
            <w:proofErr w:type="spellStart"/>
            <w:r>
              <w:rPr>
                <w:sz w:val="24"/>
                <w:szCs w:val="24"/>
              </w:rPr>
              <w:t>Assoc</w:t>
            </w:r>
            <w:proofErr w:type="spellEnd"/>
            <w:r>
              <w:rPr>
                <w:sz w:val="24"/>
                <w:szCs w:val="24"/>
              </w:rPr>
              <w:t xml:space="preserve"> </w:t>
            </w:r>
            <w:r w:rsidR="00BE558F" w:rsidRPr="00F416BA">
              <w:rPr>
                <w:sz w:val="24"/>
                <w:szCs w:val="24"/>
              </w:rPr>
              <w:t>Region IV Staff Trainings</w:t>
            </w:r>
          </w:p>
        </w:tc>
        <w:tc>
          <w:tcPr>
            <w:tcW w:w="1908" w:type="dxa"/>
          </w:tcPr>
          <w:p w:rsidR="00BE558F" w:rsidRPr="00F416BA" w:rsidRDefault="00F914D0" w:rsidP="00BE3739">
            <w:pPr>
              <w:pStyle w:val="NoSpacing"/>
              <w:jc w:val="right"/>
              <w:rPr>
                <w:sz w:val="24"/>
                <w:szCs w:val="24"/>
              </w:rPr>
            </w:pPr>
            <w:r>
              <w:rPr>
                <w:sz w:val="24"/>
                <w:szCs w:val="24"/>
              </w:rPr>
              <w:t>3,000</w:t>
            </w:r>
          </w:p>
        </w:tc>
      </w:tr>
      <w:tr w:rsidR="00BE558F" w:rsidRPr="00F416BA" w:rsidTr="00E67AF4">
        <w:tc>
          <w:tcPr>
            <w:tcW w:w="6948" w:type="dxa"/>
          </w:tcPr>
          <w:p w:rsidR="00BE558F" w:rsidRPr="00F416BA" w:rsidRDefault="00BE558F" w:rsidP="00BE3739">
            <w:pPr>
              <w:pStyle w:val="NoSpacing"/>
              <w:rPr>
                <w:sz w:val="24"/>
                <w:szCs w:val="24"/>
              </w:rPr>
            </w:pPr>
            <w:r w:rsidRPr="00F416BA">
              <w:rPr>
                <w:sz w:val="24"/>
                <w:szCs w:val="24"/>
              </w:rPr>
              <w:t xml:space="preserve">ServSafe Manager Training for Cooks and Health Services </w:t>
            </w:r>
            <w:r w:rsidR="006E41AB" w:rsidRPr="00F416BA">
              <w:rPr>
                <w:sz w:val="24"/>
                <w:szCs w:val="24"/>
              </w:rPr>
              <w:t>Coord</w:t>
            </w:r>
            <w:r w:rsidR="006E41AB">
              <w:rPr>
                <w:sz w:val="24"/>
                <w:szCs w:val="24"/>
              </w:rPr>
              <w:t>inator</w:t>
            </w:r>
          </w:p>
        </w:tc>
        <w:tc>
          <w:tcPr>
            <w:tcW w:w="1908" w:type="dxa"/>
          </w:tcPr>
          <w:p w:rsidR="00BE558F" w:rsidRPr="00F416BA" w:rsidRDefault="00CC14E9" w:rsidP="00BE3739">
            <w:pPr>
              <w:pStyle w:val="NoSpacing"/>
              <w:jc w:val="right"/>
              <w:rPr>
                <w:sz w:val="24"/>
                <w:szCs w:val="24"/>
              </w:rPr>
            </w:pPr>
            <w:r>
              <w:rPr>
                <w:sz w:val="24"/>
                <w:szCs w:val="24"/>
              </w:rPr>
              <w:t>1,0</w:t>
            </w:r>
            <w:r w:rsidR="00BE558F" w:rsidRPr="00F416BA">
              <w:rPr>
                <w:sz w:val="24"/>
                <w:szCs w:val="24"/>
              </w:rPr>
              <w:t>00</w:t>
            </w:r>
          </w:p>
        </w:tc>
      </w:tr>
      <w:tr w:rsidR="00F32498" w:rsidRPr="00F416BA" w:rsidTr="00E67AF4">
        <w:tc>
          <w:tcPr>
            <w:tcW w:w="6948" w:type="dxa"/>
          </w:tcPr>
          <w:p w:rsidR="00F32498" w:rsidRPr="00F416BA" w:rsidRDefault="00F32498" w:rsidP="00BE3739">
            <w:pPr>
              <w:pStyle w:val="NoSpacing"/>
              <w:rPr>
                <w:sz w:val="24"/>
                <w:szCs w:val="24"/>
              </w:rPr>
            </w:pPr>
            <w:r w:rsidRPr="00F416BA">
              <w:rPr>
                <w:sz w:val="24"/>
                <w:szCs w:val="24"/>
              </w:rPr>
              <w:t>State of Florida mandated training for teaching staff</w:t>
            </w:r>
          </w:p>
        </w:tc>
        <w:tc>
          <w:tcPr>
            <w:tcW w:w="1908" w:type="dxa"/>
          </w:tcPr>
          <w:p w:rsidR="00F32498" w:rsidRPr="00F416BA" w:rsidRDefault="00F914D0" w:rsidP="00BE3739">
            <w:pPr>
              <w:pStyle w:val="NoSpacing"/>
              <w:jc w:val="right"/>
              <w:rPr>
                <w:sz w:val="24"/>
                <w:szCs w:val="24"/>
              </w:rPr>
            </w:pPr>
            <w:r>
              <w:rPr>
                <w:sz w:val="24"/>
                <w:szCs w:val="24"/>
              </w:rPr>
              <w:t>10</w:t>
            </w:r>
            <w:r w:rsidR="00B526DC">
              <w:rPr>
                <w:sz w:val="24"/>
                <w:szCs w:val="24"/>
              </w:rPr>
              <w:t>0</w:t>
            </w:r>
          </w:p>
        </w:tc>
      </w:tr>
      <w:tr w:rsidR="00B526DC" w:rsidRPr="00F32498" w:rsidTr="00E67AF4">
        <w:tc>
          <w:tcPr>
            <w:tcW w:w="6948" w:type="dxa"/>
          </w:tcPr>
          <w:p w:rsidR="00B526DC" w:rsidRPr="00F416BA" w:rsidRDefault="00F914D0" w:rsidP="00BE3739">
            <w:pPr>
              <w:pStyle w:val="NoSpacing"/>
              <w:rPr>
                <w:sz w:val="24"/>
                <w:szCs w:val="24"/>
              </w:rPr>
            </w:pPr>
            <w:r>
              <w:rPr>
                <w:sz w:val="24"/>
                <w:szCs w:val="24"/>
              </w:rPr>
              <w:t>Renaissance Star Early Literacy Training</w:t>
            </w:r>
          </w:p>
        </w:tc>
        <w:tc>
          <w:tcPr>
            <w:tcW w:w="1908" w:type="dxa"/>
          </w:tcPr>
          <w:p w:rsidR="00B526DC" w:rsidRPr="00CC14E9" w:rsidRDefault="00F914D0" w:rsidP="00BE3739">
            <w:pPr>
              <w:pStyle w:val="NoSpacing"/>
              <w:jc w:val="right"/>
              <w:rPr>
                <w:sz w:val="24"/>
                <w:szCs w:val="24"/>
              </w:rPr>
            </w:pPr>
            <w:r>
              <w:rPr>
                <w:sz w:val="24"/>
                <w:szCs w:val="24"/>
              </w:rPr>
              <w:t>1,350</w:t>
            </w:r>
          </w:p>
        </w:tc>
      </w:tr>
      <w:tr w:rsidR="00F32498" w:rsidRPr="00F32498" w:rsidTr="00E67AF4">
        <w:tc>
          <w:tcPr>
            <w:tcW w:w="6948" w:type="dxa"/>
          </w:tcPr>
          <w:p w:rsidR="00F32498" w:rsidRPr="00F416BA" w:rsidRDefault="00910168" w:rsidP="00BE3739">
            <w:pPr>
              <w:pStyle w:val="NoSpacing"/>
              <w:rPr>
                <w:sz w:val="24"/>
                <w:szCs w:val="24"/>
              </w:rPr>
            </w:pPr>
            <w:r>
              <w:rPr>
                <w:sz w:val="24"/>
                <w:szCs w:val="24"/>
              </w:rPr>
              <w:t>Region IV 2019 Leadership Summit</w:t>
            </w:r>
          </w:p>
        </w:tc>
        <w:tc>
          <w:tcPr>
            <w:tcW w:w="1908" w:type="dxa"/>
          </w:tcPr>
          <w:p w:rsidR="00910168" w:rsidRPr="00CC14E9" w:rsidRDefault="00F914D0" w:rsidP="00910168">
            <w:pPr>
              <w:pStyle w:val="NoSpacing"/>
              <w:jc w:val="right"/>
              <w:rPr>
                <w:sz w:val="24"/>
                <w:szCs w:val="24"/>
              </w:rPr>
            </w:pPr>
            <w:r>
              <w:rPr>
                <w:sz w:val="24"/>
                <w:szCs w:val="24"/>
              </w:rPr>
              <w:t>3.000</w:t>
            </w:r>
          </w:p>
        </w:tc>
      </w:tr>
      <w:tr w:rsidR="00F914D0" w:rsidRPr="00F32498" w:rsidTr="00E67AF4">
        <w:tc>
          <w:tcPr>
            <w:tcW w:w="6948" w:type="dxa"/>
          </w:tcPr>
          <w:p w:rsidR="00F914D0" w:rsidRDefault="00F914D0" w:rsidP="00BE3739">
            <w:pPr>
              <w:pStyle w:val="NoSpacing"/>
              <w:rPr>
                <w:sz w:val="24"/>
                <w:szCs w:val="24"/>
              </w:rPr>
            </w:pPr>
            <w:r>
              <w:rPr>
                <w:sz w:val="24"/>
                <w:szCs w:val="24"/>
              </w:rPr>
              <w:t>Unanticipated Training Opportunities</w:t>
            </w:r>
          </w:p>
        </w:tc>
        <w:tc>
          <w:tcPr>
            <w:tcW w:w="1908" w:type="dxa"/>
          </w:tcPr>
          <w:p w:rsidR="00F914D0" w:rsidRDefault="00F914D0" w:rsidP="00910168">
            <w:pPr>
              <w:pStyle w:val="NoSpacing"/>
              <w:jc w:val="right"/>
              <w:rPr>
                <w:sz w:val="24"/>
                <w:szCs w:val="24"/>
              </w:rPr>
            </w:pPr>
            <w:r>
              <w:rPr>
                <w:sz w:val="24"/>
                <w:szCs w:val="24"/>
              </w:rPr>
              <w:t>868</w:t>
            </w:r>
          </w:p>
        </w:tc>
      </w:tr>
      <w:tr w:rsidR="00CC14E9" w:rsidRPr="00F32498" w:rsidTr="00E67AF4">
        <w:tc>
          <w:tcPr>
            <w:tcW w:w="6948" w:type="dxa"/>
          </w:tcPr>
          <w:p w:rsidR="00CC14E9" w:rsidRDefault="00CC14E9" w:rsidP="00BE3739">
            <w:pPr>
              <w:pStyle w:val="NoSpacing"/>
              <w:rPr>
                <w:sz w:val="24"/>
                <w:szCs w:val="24"/>
              </w:rPr>
            </w:pPr>
            <w:r>
              <w:rPr>
                <w:sz w:val="24"/>
                <w:szCs w:val="24"/>
              </w:rPr>
              <w:t>Facilities Management Training</w:t>
            </w:r>
          </w:p>
        </w:tc>
        <w:tc>
          <w:tcPr>
            <w:tcW w:w="1908" w:type="dxa"/>
          </w:tcPr>
          <w:p w:rsidR="00CC14E9" w:rsidRPr="00CC14E9" w:rsidRDefault="00F914D0" w:rsidP="00910168">
            <w:pPr>
              <w:pStyle w:val="NoSpacing"/>
              <w:jc w:val="right"/>
              <w:rPr>
                <w:sz w:val="24"/>
                <w:szCs w:val="24"/>
              </w:rPr>
            </w:pPr>
            <w:r>
              <w:rPr>
                <w:sz w:val="24"/>
                <w:szCs w:val="24"/>
              </w:rPr>
              <w:t>2,500</w:t>
            </w:r>
          </w:p>
        </w:tc>
      </w:tr>
      <w:tr w:rsidR="00F32498" w:rsidRPr="00F32498" w:rsidTr="00E67AF4">
        <w:tc>
          <w:tcPr>
            <w:tcW w:w="6948" w:type="dxa"/>
          </w:tcPr>
          <w:p w:rsidR="00F32498" w:rsidRPr="00F32498" w:rsidRDefault="00910168" w:rsidP="00BE3739">
            <w:pPr>
              <w:pStyle w:val="NoSpacing"/>
              <w:rPr>
                <w:sz w:val="24"/>
                <w:szCs w:val="24"/>
                <w:highlight w:val="yellow"/>
              </w:rPr>
            </w:pPr>
            <w:r>
              <w:rPr>
                <w:sz w:val="24"/>
                <w:szCs w:val="24"/>
                <w:highlight w:val="yellow"/>
              </w:rPr>
              <w:t>TOTAL</w:t>
            </w:r>
          </w:p>
        </w:tc>
        <w:tc>
          <w:tcPr>
            <w:tcW w:w="1908" w:type="dxa"/>
          </w:tcPr>
          <w:p w:rsidR="00F32498" w:rsidRPr="00F32498" w:rsidRDefault="00910168" w:rsidP="00BE3739">
            <w:pPr>
              <w:pStyle w:val="NoSpacing"/>
              <w:jc w:val="right"/>
              <w:rPr>
                <w:b/>
                <w:sz w:val="24"/>
                <w:szCs w:val="24"/>
                <w:highlight w:val="yellow"/>
              </w:rPr>
            </w:pPr>
            <w:r>
              <w:rPr>
                <w:b/>
                <w:sz w:val="24"/>
                <w:szCs w:val="24"/>
                <w:highlight w:val="yellow"/>
              </w:rPr>
              <w:t>40,998</w:t>
            </w:r>
          </w:p>
        </w:tc>
      </w:tr>
    </w:tbl>
    <w:p w:rsidR="00736FCC" w:rsidRDefault="00736FCC" w:rsidP="00BE3739">
      <w:pPr>
        <w:pStyle w:val="BodyText"/>
        <w:rPr>
          <w:rFonts w:ascii="Times New Roman" w:hAnsi="Times New Roman"/>
          <w:szCs w:val="24"/>
          <w:highlight w:val="yellow"/>
        </w:rPr>
      </w:pPr>
    </w:p>
    <w:p w:rsidR="003F500E" w:rsidRDefault="003F500E" w:rsidP="001417F7">
      <w:pPr>
        <w:pStyle w:val="BodyText"/>
        <w:rPr>
          <w:rFonts w:ascii="Times New Roman" w:hAnsi="Times New Roman"/>
          <w:b/>
          <w:szCs w:val="24"/>
        </w:rPr>
      </w:pPr>
    </w:p>
    <w:p w:rsidR="001417F7" w:rsidRPr="006D1754" w:rsidRDefault="00910168" w:rsidP="001417F7">
      <w:pPr>
        <w:pStyle w:val="BodyText"/>
        <w:rPr>
          <w:rFonts w:ascii="Times New Roman" w:hAnsi="Times New Roman"/>
          <w:b/>
          <w:szCs w:val="24"/>
        </w:rPr>
      </w:pPr>
      <w:r>
        <w:rPr>
          <w:rFonts w:ascii="Times New Roman" w:hAnsi="Times New Roman"/>
          <w:b/>
          <w:szCs w:val="24"/>
        </w:rPr>
        <w:t>NON</w:t>
      </w:r>
      <w:r w:rsidR="003F500E">
        <w:rPr>
          <w:rFonts w:ascii="Times New Roman" w:hAnsi="Times New Roman"/>
          <w:b/>
          <w:szCs w:val="24"/>
        </w:rPr>
        <w:t>-</w:t>
      </w:r>
      <w:r w:rsidR="00454D0E">
        <w:rPr>
          <w:rFonts w:ascii="Times New Roman" w:hAnsi="Times New Roman"/>
          <w:b/>
          <w:szCs w:val="24"/>
        </w:rPr>
        <w:t>FEDERAL CONTRIBUTION – $850,968</w:t>
      </w:r>
      <w:r w:rsidR="001417F7" w:rsidRPr="006D1754">
        <w:rPr>
          <w:rFonts w:ascii="Times New Roman" w:hAnsi="Times New Roman"/>
          <w:b/>
          <w:szCs w:val="24"/>
        </w:rPr>
        <w:t xml:space="preserve"> </w:t>
      </w:r>
      <w:r w:rsidR="0013331A">
        <w:rPr>
          <w:rFonts w:ascii="Times New Roman" w:hAnsi="Times New Roman"/>
          <w:b/>
          <w:szCs w:val="24"/>
        </w:rPr>
        <w:t xml:space="preserve">  </w:t>
      </w:r>
      <w:r w:rsidR="001417F7" w:rsidRPr="006D1754">
        <w:rPr>
          <w:rFonts w:ascii="Times New Roman" w:hAnsi="Times New Roman"/>
          <w:b/>
          <w:szCs w:val="24"/>
        </w:rPr>
        <w:t>20% of Budget</w:t>
      </w:r>
    </w:p>
    <w:p w:rsidR="001417F7" w:rsidRPr="006D1754" w:rsidRDefault="001417F7" w:rsidP="001417F7">
      <w:pPr>
        <w:pStyle w:val="Header"/>
        <w:rPr>
          <w:szCs w:val="24"/>
        </w:rPr>
      </w:pPr>
    </w:p>
    <w:p w:rsidR="001417F7" w:rsidRDefault="001417F7" w:rsidP="001417F7">
      <w:pPr>
        <w:pStyle w:val="Header"/>
        <w:rPr>
          <w:szCs w:val="24"/>
        </w:rPr>
      </w:pPr>
      <w:r w:rsidRPr="006D1754">
        <w:rPr>
          <w:szCs w:val="24"/>
        </w:rPr>
        <w:t>Capital Area Community Action Agency, Inc. has always strived to meet the non-federal share requirement</w:t>
      </w:r>
      <w:r w:rsidR="00454D0E">
        <w:rPr>
          <w:szCs w:val="24"/>
        </w:rPr>
        <w:t xml:space="preserve"> which is 20% of the total budget</w:t>
      </w:r>
      <w:r w:rsidRPr="006D1754">
        <w:rPr>
          <w:szCs w:val="24"/>
        </w:rPr>
        <w:t xml:space="preserve">. </w:t>
      </w:r>
      <w:r w:rsidR="00454D0E">
        <w:rPr>
          <w:szCs w:val="24"/>
        </w:rPr>
        <w:t xml:space="preserve"> This match includes the VPK, School Readiness and CHSP grants, as well as the In-Kind Contributions.  </w:t>
      </w:r>
      <w:r w:rsidRPr="006D1754">
        <w:rPr>
          <w:szCs w:val="24"/>
        </w:rPr>
        <w:t xml:space="preserve">The Nonfederal budget narrative details the required federal match and grantee and community contribution funds.  </w:t>
      </w:r>
    </w:p>
    <w:p w:rsidR="00454D0E" w:rsidRDefault="00454D0E" w:rsidP="001417F7">
      <w:pPr>
        <w:pStyle w:val="Header"/>
        <w:rPr>
          <w:szCs w:val="24"/>
        </w:rPr>
      </w:pPr>
    </w:p>
    <w:p w:rsidR="00454D0E" w:rsidRPr="00454D0E" w:rsidRDefault="00454D0E" w:rsidP="001417F7">
      <w:pPr>
        <w:pStyle w:val="Header"/>
        <w:rPr>
          <w:b/>
          <w:strike/>
          <w:szCs w:val="24"/>
        </w:rPr>
      </w:pPr>
      <w:r w:rsidRPr="00454D0E">
        <w:rPr>
          <w:b/>
          <w:szCs w:val="24"/>
        </w:rPr>
        <w:t>VPK, School Readiness and CHSP Contribution</w:t>
      </w:r>
      <w:r>
        <w:rPr>
          <w:b/>
          <w:szCs w:val="24"/>
        </w:rPr>
        <w:t xml:space="preserve"> - </w:t>
      </w:r>
      <w:r w:rsidRPr="00454D0E">
        <w:rPr>
          <w:b/>
          <w:szCs w:val="24"/>
          <w:highlight w:val="yellow"/>
        </w:rPr>
        <w:t>$397,281</w:t>
      </w:r>
    </w:p>
    <w:p w:rsidR="001417F7" w:rsidRPr="006D1754" w:rsidRDefault="001417F7" w:rsidP="001417F7">
      <w:pPr>
        <w:pStyle w:val="Header"/>
        <w:tabs>
          <w:tab w:val="clear" w:pos="4320"/>
          <w:tab w:val="clear" w:pos="8640"/>
        </w:tabs>
        <w:rPr>
          <w:b/>
          <w:szCs w:val="24"/>
          <w:u w:val="single"/>
        </w:rPr>
      </w:pPr>
    </w:p>
    <w:p w:rsidR="001417F7" w:rsidRPr="006D1754" w:rsidRDefault="00454D0E" w:rsidP="001417F7">
      <w:pPr>
        <w:pStyle w:val="Header"/>
        <w:tabs>
          <w:tab w:val="clear" w:pos="4320"/>
          <w:tab w:val="clear" w:pos="8640"/>
        </w:tabs>
        <w:rPr>
          <w:b/>
          <w:szCs w:val="24"/>
          <w:u w:val="single"/>
        </w:rPr>
      </w:pPr>
      <w:r>
        <w:rPr>
          <w:b/>
          <w:szCs w:val="24"/>
          <w:u w:val="single"/>
        </w:rPr>
        <w:t>Personnel: $171,621</w:t>
      </w:r>
    </w:p>
    <w:p w:rsidR="00910168" w:rsidRDefault="00721A4C" w:rsidP="001417F7">
      <w:pPr>
        <w:pStyle w:val="Header"/>
        <w:numPr>
          <w:ilvl w:val="0"/>
          <w:numId w:val="3"/>
        </w:numPr>
        <w:tabs>
          <w:tab w:val="clear" w:pos="4320"/>
          <w:tab w:val="clear" w:pos="8640"/>
        </w:tabs>
        <w:rPr>
          <w:szCs w:val="24"/>
        </w:rPr>
      </w:pPr>
      <w:r>
        <w:rPr>
          <w:szCs w:val="24"/>
        </w:rPr>
        <w:t xml:space="preserve">Teaching Staff:  </w:t>
      </w:r>
      <w:r w:rsidR="00910168" w:rsidRPr="00910168">
        <w:rPr>
          <w:szCs w:val="24"/>
        </w:rPr>
        <w:t xml:space="preserve">Salary for </w:t>
      </w:r>
      <w:r>
        <w:rPr>
          <w:szCs w:val="24"/>
        </w:rPr>
        <w:t>30% of</w:t>
      </w:r>
      <w:r w:rsidR="00910168" w:rsidRPr="00910168">
        <w:rPr>
          <w:szCs w:val="24"/>
        </w:rPr>
        <w:t xml:space="preserve"> </w:t>
      </w:r>
      <w:r>
        <w:rPr>
          <w:szCs w:val="24"/>
        </w:rPr>
        <w:t xml:space="preserve">teaching </w:t>
      </w:r>
      <w:r w:rsidR="00910168" w:rsidRPr="00910168">
        <w:rPr>
          <w:szCs w:val="24"/>
        </w:rPr>
        <w:t>staff</w:t>
      </w:r>
      <w:r>
        <w:rPr>
          <w:szCs w:val="24"/>
        </w:rPr>
        <w:t xml:space="preserve"> assigned to Ext</w:t>
      </w:r>
      <w:r w:rsidR="00785385">
        <w:rPr>
          <w:szCs w:val="24"/>
        </w:rPr>
        <w:t>ended Day Program:  VPK ($88,628</w:t>
      </w:r>
      <w:r>
        <w:rPr>
          <w:szCs w:val="24"/>
        </w:rPr>
        <w:t>); School Readiness (($13,953</w:t>
      </w:r>
      <w:r w:rsidR="00910168" w:rsidRPr="00910168">
        <w:rPr>
          <w:szCs w:val="24"/>
        </w:rPr>
        <w:t xml:space="preserve">) </w:t>
      </w:r>
      <w:r w:rsidR="001417F7" w:rsidRPr="00910168">
        <w:rPr>
          <w:szCs w:val="24"/>
        </w:rPr>
        <w:t xml:space="preserve"> -  </w:t>
      </w:r>
    </w:p>
    <w:p w:rsidR="00EF4207" w:rsidRDefault="00EF4207" w:rsidP="001417F7">
      <w:pPr>
        <w:pStyle w:val="Header"/>
        <w:numPr>
          <w:ilvl w:val="0"/>
          <w:numId w:val="3"/>
        </w:numPr>
        <w:tabs>
          <w:tab w:val="clear" w:pos="4320"/>
          <w:tab w:val="clear" w:pos="8640"/>
        </w:tabs>
        <w:rPr>
          <w:szCs w:val="24"/>
        </w:rPr>
      </w:pPr>
      <w:r>
        <w:rPr>
          <w:szCs w:val="24"/>
        </w:rPr>
        <w:lastRenderedPageBreak/>
        <w:t xml:space="preserve">Program Staff:  </w:t>
      </w:r>
      <w:r w:rsidR="00910168">
        <w:rPr>
          <w:szCs w:val="24"/>
        </w:rPr>
        <w:t xml:space="preserve"> 10% of the salary of </w:t>
      </w:r>
      <w:r w:rsidR="00721A4C">
        <w:rPr>
          <w:szCs w:val="24"/>
        </w:rPr>
        <w:t xml:space="preserve">management </w:t>
      </w:r>
      <w:r>
        <w:rPr>
          <w:szCs w:val="24"/>
        </w:rPr>
        <w:t>staff that</w:t>
      </w:r>
      <w:r w:rsidR="00910168">
        <w:rPr>
          <w:szCs w:val="24"/>
        </w:rPr>
        <w:t xml:space="preserve"> service the Extended Day Program which </w:t>
      </w:r>
      <w:r>
        <w:rPr>
          <w:szCs w:val="24"/>
        </w:rPr>
        <w:t xml:space="preserve">includes </w:t>
      </w:r>
      <w:r w:rsidR="00910168">
        <w:rPr>
          <w:szCs w:val="24"/>
        </w:rPr>
        <w:t>Center Directors that hav</w:t>
      </w:r>
      <w:r>
        <w:rPr>
          <w:szCs w:val="24"/>
        </w:rPr>
        <w:t>e Extended Day in their Center ($12,196), Q</w:t>
      </w:r>
      <w:r w:rsidR="00454D0E">
        <w:rPr>
          <w:szCs w:val="24"/>
        </w:rPr>
        <w:t>uality Assurance Manager ($4,633</w:t>
      </w:r>
      <w:r>
        <w:rPr>
          <w:szCs w:val="24"/>
        </w:rPr>
        <w:t xml:space="preserve">) and </w:t>
      </w:r>
      <w:r w:rsidR="00910168">
        <w:rPr>
          <w:szCs w:val="24"/>
        </w:rPr>
        <w:t>Education Coordinators</w:t>
      </w:r>
      <w:r>
        <w:rPr>
          <w:szCs w:val="24"/>
        </w:rPr>
        <w:t xml:space="preserve"> ($</w:t>
      </w:r>
      <w:r w:rsidR="00E733EF">
        <w:rPr>
          <w:szCs w:val="24"/>
        </w:rPr>
        <w:t>11,868)</w:t>
      </w:r>
      <w:r>
        <w:rPr>
          <w:szCs w:val="24"/>
        </w:rPr>
        <w:t xml:space="preserve">, and </w:t>
      </w:r>
      <w:r w:rsidR="00721A4C">
        <w:rPr>
          <w:szCs w:val="24"/>
        </w:rPr>
        <w:t>30% of ECD</w:t>
      </w:r>
      <w:r>
        <w:rPr>
          <w:szCs w:val="24"/>
        </w:rPr>
        <w:t xml:space="preserve"> Support Specialist</w:t>
      </w:r>
      <w:r w:rsidR="00E733EF">
        <w:rPr>
          <w:szCs w:val="24"/>
        </w:rPr>
        <w:t xml:space="preserve"> ($11,719)</w:t>
      </w:r>
      <w:r>
        <w:rPr>
          <w:szCs w:val="24"/>
        </w:rPr>
        <w:t>.</w:t>
      </w:r>
    </w:p>
    <w:p w:rsidR="001417F7" w:rsidRPr="00910168" w:rsidRDefault="00EF4207" w:rsidP="001417F7">
      <w:pPr>
        <w:pStyle w:val="Header"/>
        <w:numPr>
          <w:ilvl w:val="0"/>
          <w:numId w:val="3"/>
        </w:numPr>
        <w:tabs>
          <w:tab w:val="clear" w:pos="4320"/>
          <w:tab w:val="clear" w:pos="8640"/>
        </w:tabs>
        <w:rPr>
          <w:szCs w:val="24"/>
        </w:rPr>
      </w:pPr>
      <w:r>
        <w:rPr>
          <w:szCs w:val="24"/>
        </w:rPr>
        <w:t xml:space="preserve">Other Staff:  </w:t>
      </w:r>
      <w:r w:rsidR="00870EE9">
        <w:rPr>
          <w:szCs w:val="24"/>
        </w:rPr>
        <w:t xml:space="preserve">CHSP </w:t>
      </w:r>
      <w:r>
        <w:rPr>
          <w:szCs w:val="24"/>
        </w:rPr>
        <w:t xml:space="preserve">Parent Engagement Coordinator 50%  ($21,455), and 15% of PFCE Manager for Male Engagement ($7,169).  </w:t>
      </w:r>
    </w:p>
    <w:p w:rsidR="001417F7" w:rsidRPr="006D1754" w:rsidRDefault="00E733EF" w:rsidP="001417F7">
      <w:pPr>
        <w:pStyle w:val="Header"/>
        <w:tabs>
          <w:tab w:val="clear" w:pos="4320"/>
          <w:tab w:val="clear" w:pos="8640"/>
        </w:tabs>
        <w:rPr>
          <w:szCs w:val="24"/>
          <w:u w:val="single"/>
        </w:rPr>
      </w:pPr>
      <w:r>
        <w:rPr>
          <w:b/>
          <w:szCs w:val="24"/>
          <w:u w:val="single"/>
        </w:rPr>
        <w:t>Fringe Benefits: $49,736</w:t>
      </w:r>
    </w:p>
    <w:p w:rsidR="003F500E" w:rsidRPr="00454D0E" w:rsidRDefault="001417F7" w:rsidP="00454D0E">
      <w:pPr>
        <w:pStyle w:val="Header"/>
        <w:numPr>
          <w:ilvl w:val="0"/>
          <w:numId w:val="3"/>
        </w:numPr>
        <w:tabs>
          <w:tab w:val="clear" w:pos="4320"/>
          <w:tab w:val="clear" w:pos="8640"/>
        </w:tabs>
        <w:rPr>
          <w:szCs w:val="24"/>
        </w:rPr>
      </w:pPr>
      <w:r w:rsidRPr="006D1754">
        <w:rPr>
          <w:szCs w:val="24"/>
        </w:rPr>
        <w:t>Fringe Benefits include Health/Dental/Life Insurance, Social Security Tax, Worker’s Compensation/Unemployment, Retirement and Medicare expenses.  Funds from CHSP</w:t>
      </w:r>
      <w:r w:rsidR="00E733EF">
        <w:rPr>
          <w:szCs w:val="24"/>
        </w:rPr>
        <w:t>, SR</w:t>
      </w:r>
      <w:r w:rsidRPr="006D1754">
        <w:rPr>
          <w:szCs w:val="24"/>
        </w:rPr>
        <w:t xml:space="preserve"> and VPK cover the cost of Fringe Benefits for the portions of positions pai</w:t>
      </w:r>
      <w:r w:rsidR="00E733EF">
        <w:rPr>
          <w:szCs w:val="24"/>
        </w:rPr>
        <w:t>d for by those funders.  ($49,736)</w:t>
      </w:r>
    </w:p>
    <w:p w:rsidR="00E95383" w:rsidRDefault="00E95383" w:rsidP="00A735E5">
      <w:pPr>
        <w:pStyle w:val="Header"/>
        <w:tabs>
          <w:tab w:val="clear" w:pos="4320"/>
          <w:tab w:val="clear" w:pos="8640"/>
        </w:tabs>
        <w:rPr>
          <w:b/>
          <w:szCs w:val="24"/>
          <w:u w:val="single"/>
        </w:rPr>
      </w:pPr>
      <w:r>
        <w:rPr>
          <w:b/>
          <w:szCs w:val="24"/>
          <w:u w:val="single"/>
        </w:rPr>
        <w:t>Indirect Costs:  $40,199</w:t>
      </w:r>
    </w:p>
    <w:p w:rsidR="00E95383" w:rsidRPr="00E95383" w:rsidRDefault="00E95383" w:rsidP="00A735E5">
      <w:pPr>
        <w:pStyle w:val="Header"/>
        <w:numPr>
          <w:ilvl w:val="0"/>
          <w:numId w:val="3"/>
        </w:numPr>
        <w:tabs>
          <w:tab w:val="clear" w:pos="4320"/>
          <w:tab w:val="clear" w:pos="8640"/>
        </w:tabs>
        <w:rPr>
          <w:szCs w:val="24"/>
        </w:rPr>
      </w:pPr>
      <w:r w:rsidRPr="00E95383">
        <w:rPr>
          <w:szCs w:val="24"/>
        </w:rPr>
        <w:t>Indirect Cost Rate of 18.16% to cover the portions of positions paid for by VPK, SR and CHSP. ($40,199)</w:t>
      </w:r>
    </w:p>
    <w:p w:rsidR="001417F7" w:rsidRPr="003F500E" w:rsidRDefault="001417F7" w:rsidP="00A735E5">
      <w:pPr>
        <w:pStyle w:val="Header"/>
        <w:tabs>
          <w:tab w:val="clear" w:pos="4320"/>
          <w:tab w:val="clear" w:pos="8640"/>
        </w:tabs>
        <w:rPr>
          <w:szCs w:val="24"/>
        </w:rPr>
      </w:pPr>
      <w:r w:rsidRPr="003F500E">
        <w:rPr>
          <w:b/>
          <w:szCs w:val="24"/>
          <w:u w:val="single"/>
        </w:rPr>
        <w:t>Repairs and Maintenance Expense</w:t>
      </w:r>
      <w:r w:rsidRPr="003F500E">
        <w:rPr>
          <w:szCs w:val="24"/>
          <w:u w:val="single"/>
        </w:rPr>
        <w:t xml:space="preserve">:  </w:t>
      </w:r>
      <w:r w:rsidR="00E733EF">
        <w:rPr>
          <w:b/>
          <w:szCs w:val="24"/>
          <w:u w:val="single"/>
        </w:rPr>
        <w:t>$7,500</w:t>
      </w:r>
    </w:p>
    <w:p w:rsidR="003F500E" w:rsidRDefault="001417F7" w:rsidP="001417F7">
      <w:pPr>
        <w:pStyle w:val="Header"/>
        <w:numPr>
          <w:ilvl w:val="0"/>
          <w:numId w:val="7"/>
        </w:numPr>
        <w:tabs>
          <w:tab w:val="clear" w:pos="4320"/>
          <w:tab w:val="clear" w:pos="8640"/>
        </w:tabs>
        <w:rPr>
          <w:szCs w:val="24"/>
        </w:rPr>
      </w:pPr>
      <w:r w:rsidRPr="006D1754">
        <w:rPr>
          <w:szCs w:val="24"/>
        </w:rPr>
        <w:t xml:space="preserve">VPK </w:t>
      </w:r>
      <w:r w:rsidR="00870EE9">
        <w:rPr>
          <w:szCs w:val="24"/>
        </w:rPr>
        <w:t xml:space="preserve">and SR </w:t>
      </w:r>
      <w:r w:rsidRPr="006D1754">
        <w:rPr>
          <w:szCs w:val="24"/>
        </w:rPr>
        <w:t>funds support the repairs and maintenanc</w:t>
      </w:r>
      <w:r w:rsidR="00E733EF">
        <w:rPr>
          <w:szCs w:val="24"/>
        </w:rPr>
        <w:t xml:space="preserve">e costs at the centers.  </w:t>
      </w:r>
      <w:r w:rsidR="00757A90">
        <w:rPr>
          <w:szCs w:val="24"/>
        </w:rPr>
        <w:t>(</w:t>
      </w:r>
      <w:r w:rsidR="00E733EF">
        <w:rPr>
          <w:szCs w:val="24"/>
        </w:rPr>
        <w:t>$7,500</w:t>
      </w:r>
      <w:r w:rsidR="00757A90">
        <w:rPr>
          <w:szCs w:val="24"/>
        </w:rPr>
        <w:t>)</w:t>
      </w:r>
    </w:p>
    <w:p w:rsidR="001417F7" w:rsidRPr="003F500E" w:rsidRDefault="001417F7" w:rsidP="00A735E5">
      <w:pPr>
        <w:pStyle w:val="Header"/>
        <w:tabs>
          <w:tab w:val="clear" w:pos="4320"/>
          <w:tab w:val="clear" w:pos="8640"/>
        </w:tabs>
        <w:rPr>
          <w:szCs w:val="24"/>
        </w:rPr>
      </w:pPr>
      <w:r w:rsidRPr="003F500E">
        <w:rPr>
          <w:b/>
          <w:szCs w:val="24"/>
          <w:u w:val="single"/>
        </w:rPr>
        <w:t>Rent/Space Cost</w:t>
      </w:r>
      <w:r w:rsidR="00E95383">
        <w:rPr>
          <w:b/>
          <w:szCs w:val="24"/>
          <w:u w:val="single"/>
        </w:rPr>
        <w:t xml:space="preserve"> and Utilities</w:t>
      </w:r>
      <w:r w:rsidRPr="003F500E">
        <w:rPr>
          <w:b/>
          <w:szCs w:val="24"/>
          <w:u w:val="single"/>
        </w:rPr>
        <w:t>:</w:t>
      </w:r>
      <w:r w:rsidR="00870EE9" w:rsidRPr="003F500E">
        <w:rPr>
          <w:szCs w:val="24"/>
          <w:u w:val="single"/>
        </w:rPr>
        <w:t xml:space="preserve"> </w:t>
      </w:r>
      <w:r w:rsidR="00454D0E">
        <w:rPr>
          <w:b/>
          <w:szCs w:val="24"/>
          <w:u w:val="single"/>
        </w:rPr>
        <w:t>$6</w:t>
      </w:r>
      <w:r w:rsidR="00E95383">
        <w:rPr>
          <w:b/>
          <w:szCs w:val="24"/>
          <w:u w:val="single"/>
        </w:rPr>
        <w:t>4,535</w:t>
      </w:r>
    </w:p>
    <w:p w:rsidR="003F500E" w:rsidRDefault="001417F7" w:rsidP="001417F7">
      <w:pPr>
        <w:pStyle w:val="Header"/>
        <w:numPr>
          <w:ilvl w:val="0"/>
          <w:numId w:val="7"/>
        </w:numPr>
        <w:tabs>
          <w:tab w:val="clear" w:pos="4320"/>
          <w:tab w:val="clear" w:pos="8640"/>
        </w:tabs>
        <w:rPr>
          <w:szCs w:val="24"/>
        </w:rPr>
      </w:pPr>
      <w:r w:rsidRPr="006D1754">
        <w:rPr>
          <w:szCs w:val="24"/>
        </w:rPr>
        <w:t>School Readi</w:t>
      </w:r>
      <w:r w:rsidR="00870EE9">
        <w:rPr>
          <w:szCs w:val="24"/>
        </w:rPr>
        <w:t xml:space="preserve">ness, </w:t>
      </w:r>
      <w:r w:rsidRPr="006D1754">
        <w:rPr>
          <w:szCs w:val="24"/>
        </w:rPr>
        <w:t xml:space="preserve">VPK </w:t>
      </w:r>
      <w:r w:rsidR="00870EE9">
        <w:rPr>
          <w:szCs w:val="24"/>
        </w:rPr>
        <w:t xml:space="preserve">and CCFP </w:t>
      </w:r>
      <w:r w:rsidRPr="006D1754">
        <w:rPr>
          <w:szCs w:val="24"/>
        </w:rPr>
        <w:t>dollars support the cost of rent</w:t>
      </w:r>
      <w:r w:rsidR="00454D0E">
        <w:rPr>
          <w:szCs w:val="24"/>
        </w:rPr>
        <w:t xml:space="preserve"> ($3</w:t>
      </w:r>
      <w:r w:rsidR="00E95383">
        <w:rPr>
          <w:szCs w:val="24"/>
        </w:rPr>
        <w:t xml:space="preserve">8,528) </w:t>
      </w:r>
      <w:r w:rsidRPr="006D1754">
        <w:rPr>
          <w:szCs w:val="24"/>
        </w:rPr>
        <w:t xml:space="preserve"> </w:t>
      </w:r>
      <w:r w:rsidR="00454D0E">
        <w:rPr>
          <w:szCs w:val="24"/>
        </w:rPr>
        <w:t>and utilities ($2</w:t>
      </w:r>
      <w:r w:rsidR="00E95383">
        <w:rPr>
          <w:szCs w:val="24"/>
        </w:rPr>
        <w:t xml:space="preserve">6,007) </w:t>
      </w:r>
      <w:r w:rsidRPr="006D1754">
        <w:rPr>
          <w:szCs w:val="24"/>
        </w:rPr>
        <w:t>at c</w:t>
      </w:r>
      <w:r w:rsidR="00E95383">
        <w:rPr>
          <w:szCs w:val="24"/>
        </w:rPr>
        <w:t>enters that have Extended Day Program</w:t>
      </w:r>
      <w:r w:rsidR="00E733EF">
        <w:rPr>
          <w:szCs w:val="24"/>
        </w:rPr>
        <w:t>.</w:t>
      </w:r>
      <w:r w:rsidR="00E95383">
        <w:rPr>
          <w:szCs w:val="24"/>
        </w:rPr>
        <w:t xml:space="preserve">  </w:t>
      </w:r>
      <w:r w:rsidR="00757A90">
        <w:rPr>
          <w:szCs w:val="24"/>
        </w:rPr>
        <w:t>(</w:t>
      </w:r>
      <w:r w:rsidR="00E95383">
        <w:rPr>
          <w:szCs w:val="24"/>
        </w:rPr>
        <w:t>$</w:t>
      </w:r>
      <w:r w:rsidR="00757A90">
        <w:rPr>
          <w:szCs w:val="24"/>
        </w:rPr>
        <w:t>6</w:t>
      </w:r>
      <w:r w:rsidR="00E95383">
        <w:rPr>
          <w:szCs w:val="24"/>
        </w:rPr>
        <w:t>4,535</w:t>
      </w:r>
      <w:r w:rsidR="00757A90">
        <w:rPr>
          <w:szCs w:val="24"/>
        </w:rPr>
        <w:t>)</w:t>
      </w:r>
    </w:p>
    <w:p w:rsidR="001417F7" w:rsidRPr="003F500E" w:rsidRDefault="001417F7" w:rsidP="00A735E5">
      <w:pPr>
        <w:pStyle w:val="Header"/>
        <w:tabs>
          <w:tab w:val="clear" w:pos="4320"/>
          <w:tab w:val="clear" w:pos="8640"/>
        </w:tabs>
        <w:rPr>
          <w:szCs w:val="24"/>
        </w:rPr>
      </w:pPr>
      <w:r w:rsidRPr="003F500E">
        <w:rPr>
          <w:b/>
          <w:szCs w:val="24"/>
          <w:u w:val="single"/>
        </w:rPr>
        <w:t>Chil</w:t>
      </w:r>
      <w:r w:rsidR="00E733EF">
        <w:rPr>
          <w:b/>
          <w:szCs w:val="24"/>
          <w:u w:val="single"/>
        </w:rPr>
        <w:t>d Services Consultants:  $9,874</w:t>
      </w:r>
    </w:p>
    <w:p w:rsidR="003F500E" w:rsidRDefault="001417F7" w:rsidP="00597C93">
      <w:pPr>
        <w:pStyle w:val="Header"/>
        <w:numPr>
          <w:ilvl w:val="0"/>
          <w:numId w:val="7"/>
        </w:numPr>
        <w:tabs>
          <w:tab w:val="clear" w:pos="4320"/>
          <w:tab w:val="clear" w:pos="8640"/>
        </w:tabs>
        <w:rPr>
          <w:szCs w:val="24"/>
        </w:rPr>
      </w:pPr>
      <w:r w:rsidRPr="006D1754">
        <w:rPr>
          <w:szCs w:val="24"/>
        </w:rPr>
        <w:t>Mental Health, Disabilities Services and Obesity Prevention Services are provide</w:t>
      </w:r>
      <w:r w:rsidR="00870EE9">
        <w:rPr>
          <w:szCs w:val="24"/>
        </w:rPr>
        <w:t xml:space="preserve">d through the </w:t>
      </w:r>
      <w:r w:rsidR="00E733EF">
        <w:rPr>
          <w:szCs w:val="24"/>
        </w:rPr>
        <w:t xml:space="preserve">CHSP Grant </w:t>
      </w:r>
      <w:r w:rsidR="00757A90">
        <w:rPr>
          <w:szCs w:val="24"/>
        </w:rPr>
        <w:t>(</w:t>
      </w:r>
      <w:r w:rsidR="00E733EF">
        <w:rPr>
          <w:szCs w:val="24"/>
        </w:rPr>
        <w:t>$9,874</w:t>
      </w:r>
      <w:r w:rsidR="00757A90">
        <w:rPr>
          <w:szCs w:val="24"/>
        </w:rPr>
        <w:t>)</w:t>
      </w:r>
      <w:r w:rsidR="00E733EF">
        <w:rPr>
          <w:szCs w:val="24"/>
        </w:rPr>
        <w:t>.</w:t>
      </w:r>
      <w:r w:rsidR="00870EE9">
        <w:rPr>
          <w:szCs w:val="24"/>
        </w:rPr>
        <w:t xml:space="preserve"> </w:t>
      </w:r>
    </w:p>
    <w:p w:rsidR="00597C93" w:rsidRDefault="002073C1" w:rsidP="00A63458">
      <w:pPr>
        <w:pStyle w:val="Header"/>
        <w:tabs>
          <w:tab w:val="clear" w:pos="4320"/>
          <w:tab w:val="clear" w:pos="8640"/>
        </w:tabs>
        <w:rPr>
          <w:szCs w:val="24"/>
        </w:rPr>
      </w:pPr>
      <w:r w:rsidRPr="002073C1">
        <w:rPr>
          <w:b/>
          <w:szCs w:val="24"/>
          <w:u w:val="single"/>
        </w:rPr>
        <w:t xml:space="preserve">Other Non-Federal Share </w:t>
      </w:r>
      <w:r w:rsidR="00A63458">
        <w:rPr>
          <w:b/>
          <w:szCs w:val="24"/>
          <w:u w:val="single"/>
        </w:rPr>
        <w:t>E</w:t>
      </w:r>
      <w:r w:rsidRPr="002073C1">
        <w:rPr>
          <w:b/>
          <w:szCs w:val="24"/>
          <w:u w:val="single"/>
        </w:rPr>
        <w:t>xpenses</w:t>
      </w:r>
      <w:r w:rsidR="00A63458">
        <w:rPr>
          <w:b/>
          <w:szCs w:val="24"/>
          <w:u w:val="single"/>
        </w:rPr>
        <w:t>:</w:t>
      </w:r>
      <w:r w:rsidR="008A5C1F">
        <w:rPr>
          <w:b/>
          <w:szCs w:val="24"/>
          <w:u w:val="single"/>
        </w:rPr>
        <w:t xml:space="preserve"> </w:t>
      </w:r>
      <w:r w:rsidR="00454D0E">
        <w:rPr>
          <w:b/>
          <w:szCs w:val="24"/>
          <w:u w:val="single"/>
        </w:rPr>
        <w:t>$53,816</w:t>
      </w:r>
      <w:r>
        <w:rPr>
          <w:szCs w:val="24"/>
        </w:rPr>
        <w:t xml:space="preserve">  </w:t>
      </w:r>
    </w:p>
    <w:p w:rsidR="00E95383" w:rsidRDefault="002073C1" w:rsidP="00597C93">
      <w:pPr>
        <w:pStyle w:val="Header"/>
        <w:numPr>
          <w:ilvl w:val="0"/>
          <w:numId w:val="7"/>
        </w:numPr>
        <w:tabs>
          <w:tab w:val="clear" w:pos="4320"/>
          <w:tab w:val="clear" w:pos="8640"/>
        </w:tabs>
        <w:rPr>
          <w:szCs w:val="24"/>
        </w:rPr>
      </w:pPr>
      <w:r>
        <w:rPr>
          <w:szCs w:val="24"/>
        </w:rPr>
        <w:t>The following are additional expenses covered by the VPK</w:t>
      </w:r>
      <w:r w:rsidR="00A63458">
        <w:rPr>
          <w:szCs w:val="24"/>
        </w:rPr>
        <w:t>, CHSP</w:t>
      </w:r>
      <w:r>
        <w:rPr>
          <w:szCs w:val="24"/>
        </w:rPr>
        <w:t xml:space="preserve"> and SR grants:  Staff screenin</w:t>
      </w:r>
      <w:r w:rsidR="00454D0E">
        <w:rPr>
          <w:szCs w:val="24"/>
        </w:rPr>
        <w:t>gs ($350); Office supplies ($3,0</w:t>
      </w:r>
      <w:r>
        <w:rPr>
          <w:szCs w:val="24"/>
        </w:rPr>
        <w:t>30); Program supplies ($</w:t>
      </w:r>
      <w:r w:rsidR="00454D0E">
        <w:rPr>
          <w:szCs w:val="24"/>
        </w:rPr>
        <w:t>7,000); Classroom supplies ($6,409); Kitchen supplies ($5,540); Copies/Printing ($3</w:t>
      </w:r>
      <w:r w:rsidR="00A63458">
        <w:rPr>
          <w:szCs w:val="24"/>
        </w:rPr>
        <w:t>,000); Staff Development ($1,500) and R</w:t>
      </w:r>
      <w:r w:rsidR="00454D0E">
        <w:rPr>
          <w:szCs w:val="24"/>
        </w:rPr>
        <w:t>aw Food cost ($26,987</w:t>
      </w:r>
      <w:r w:rsidR="00A63458">
        <w:rPr>
          <w:szCs w:val="24"/>
        </w:rPr>
        <w:t>).</w:t>
      </w:r>
    </w:p>
    <w:p w:rsidR="00785385" w:rsidRDefault="00785385" w:rsidP="00785385">
      <w:pPr>
        <w:pStyle w:val="Header"/>
        <w:tabs>
          <w:tab w:val="clear" w:pos="4320"/>
          <w:tab w:val="clear" w:pos="8640"/>
        </w:tabs>
        <w:ind w:left="720"/>
        <w:rPr>
          <w:szCs w:val="24"/>
        </w:rPr>
      </w:pPr>
    </w:p>
    <w:p w:rsidR="00785385" w:rsidRPr="00785385" w:rsidRDefault="00785385" w:rsidP="00785385">
      <w:pPr>
        <w:pStyle w:val="Header"/>
        <w:tabs>
          <w:tab w:val="clear" w:pos="4320"/>
          <w:tab w:val="clear" w:pos="8640"/>
        </w:tabs>
        <w:rPr>
          <w:b/>
          <w:szCs w:val="24"/>
        </w:rPr>
      </w:pPr>
      <w:r w:rsidRPr="00785385">
        <w:rPr>
          <w:b/>
          <w:szCs w:val="24"/>
        </w:rPr>
        <w:t>IN-KIND</w:t>
      </w:r>
      <w:r w:rsidR="0013331A">
        <w:rPr>
          <w:b/>
          <w:szCs w:val="24"/>
        </w:rPr>
        <w:t xml:space="preserve"> CONTRIBUTIONS:  </w:t>
      </w:r>
      <w:r w:rsidR="00ED6CDD">
        <w:rPr>
          <w:b/>
          <w:szCs w:val="24"/>
          <w:highlight w:val="yellow"/>
        </w:rPr>
        <w:t>$</w:t>
      </w:r>
      <w:r w:rsidR="00ED6CDD" w:rsidRPr="00ED6CDD">
        <w:rPr>
          <w:b/>
          <w:szCs w:val="24"/>
          <w:highlight w:val="yellow"/>
        </w:rPr>
        <w:t>484,030</w:t>
      </w:r>
    </w:p>
    <w:p w:rsidR="00785385" w:rsidRDefault="00785385" w:rsidP="00785385">
      <w:pPr>
        <w:pStyle w:val="Header"/>
        <w:tabs>
          <w:tab w:val="clear" w:pos="4320"/>
          <w:tab w:val="clear" w:pos="8640"/>
        </w:tabs>
        <w:rPr>
          <w:szCs w:val="24"/>
        </w:rPr>
      </w:pPr>
    </w:p>
    <w:p w:rsidR="003F500E" w:rsidRDefault="00A735E5" w:rsidP="003F500E">
      <w:pPr>
        <w:pStyle w:val="Header"/>
        <w:tabs>
          <w:tab w:val="clear" w:pos="4320"/>
          <w:tab w:val="clear" w:pos="8640"/>
        </w:tabs>
        <w:rPr>
          <w:b/>
          <w:szCs w:val="24"/>
          <w:u w:val="single"/>
        </w:rPr>
      </w:pPr>
      <w:r>
        <w:rPr>
          <w:b/>
          <w:szCs w:val="24"/>
          <w:u w:val="single"/>
        </w:rPr>
        <w:t>Rent</w:t>
      </w:r>
      <w:r w:rsidR="00FA3FE4">
        <w:rPr>
          <w:b/>
          <w:szCs w:val="24"/>
          <w:u w:val="single"/>
        </w:rPr>
        <w:t xml:space="preserve"> Differential: $132,000</w:t>
      </w:r>
    </w:p>
    <w:p w:rsidR="00A735E5" w:rsidRDefault="00A735E5" w:rsidP="003F500E">
      <w:pPr>
        <w:pStyle w:val="Header"/>
        <w:tabs>
          <w:tab w:val="clear" w:pos="4320"/>
          <w:tab w:val="clear" w:pos="8640"/>
        </w:tabs>
        <w:rPr>
          <w:b/>
          <w:szCs w:val="24"/>
          <w:u w:val="single"/>
        </w:rPr>
      </w:pPr>
    </w:p>
    <w:tbl>
      <w:tblPr>
        <w:tblW w:w="0" w:type="auto"/>
        <w:tblCellMar>
          <w:left w:w="0" w:type="dxa"/>
          <w:right w:w="0" w:type="dxa"/>
        </w:tblCellMar>
        <w:tblLook w:val="04A0" w:firstRow="1" w:lastRow="0" w:firstColumn="1" w:lastColumn="0" w:noHBand="0" w:noVBand="1"/>
      </w:tblPr>
      <w:tblGrid>
        <w:gridCol w:w="1392"/>
        <w:gridCol w:w="1271"/>
        <w:gridCol w:w="1249"/>
        <w:gridCol w:w="1484"/>
        <w:gridCol w:w="1275"/>
        <w:gridCol w:w="1425"/>
        <w:gridCol w:w="1480"/>
      </w:tblGrid>
      <w:tr w:rsidR="00A735E5" w:rsidRPr="00A63458" w:rsidTr="00A735E5">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Center</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Market Rent</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Actual Rent</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Difference</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Square Feet</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In-kind Amount (Monthly)</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Annual In-kind</w:t>
            </w:r>
          </w:p>
        </w:tc>
      </w:tr>
      <w:tr w:rsidR="00A735E5" w:rsidRPr="00A63458" w:rsidTr="00A735E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Franklin</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rsidP="003F7D52">
            <w:pPr>
              <w:jc w:val="center"/>
              <w:rPr>
                <w:rFonts w:ascii="Century Gothic" w:hAnsi="Century Gothic"/>
              </w:rPr>
            </w:pPr>
            <w:r w:rsidRPr="00454D0E">
              <w:rPr>
                <w:rFonts w:ascii="Century Gothic" w:hAnsi="Century Gothic"/>
              </w:rPr>
              <w:t>6.36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rsidP="003F7D52">
            <w:pPr>
              <w:jc w:val="center"/>
              <w:rPr>
                <w:rFonts w:ascii="Century Gothic" w:hAnsi="Century Gothic"/>
              </w:rPr>
            </w:pPr>
            <w:r w:rsidRPr="00454D0E">
              <w:rPr>
                <w:rFonts w:ascii="Century Gothic" w:hAnsi="Century Gothic"/>
              </w:rPr>
              <w:t>2.67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rsidP="003F7D52">
            <w:pPr>
              <w:jc w:val="center"/>
              <w:rPr>
                <w:rFonts w:ascii="Century Gothic" w:hAnsi="Century Gothic"/>
              </w:rPr>
            </w:pPr>
            <w:r w:rsidRPr="00454D0E">
              <w:rPr>
                <w:rFonts w:ascii="Century Gothic" w:hAnsi="Century Gothic"/>
              </w:rPr>
              <w:t>3.69</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1</w:t>
            </w:r>
            <w:r w:rsidR="003F7D52">
              <w:rPr>
                <w:rFonts w:ascii="Century Gothic" w:hAnsi="Century Gothic"/>
              </w:rPr>
              <w:t>,</w:t>
            </w:r>
            <w:r w:rsidRPr="00454D0E">
              <w:rPr>
                <w:rFonts w:ascii="Century Gothic" w:hAnsi="Century Gothic"/>
              </w:rPr>
              <w:t>800</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3F7D52" w:rsidP="003F7D52">
            <w:pPr>
              <w:jc w:val="right"/>
              <w:rPr>
                <w:rFonts w:ascii="Century Gothic" w:hAnsi="Century Gothic"/>
              </w:rPr>
            </w:pPr>
            <w:r>
              <w:rPr>
                <w:rFonts w:ascii="Century Gothic" w:hAnsi="Century Gothic"/>
              </w:rPr>
              <w:t>553.50</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3F7D52" w:rsidP="003F7D52">
            <w:pPr>
              <w:jc w:val="right"/>
              <w:rPr>
                <w:rFonts w:ascii="Century Gothic" w:hAnsi="Century Gothic"/>
              </w:rPr>
            </w:pPr>
            <w:r>
              <w:rPr>
                <w:rFonts w:ascii="Century Gothic" w:hAnsi="Century Gothic"/>
              </w:rPr>
              <w:t xml:space="preserve">  6,642.00</w:t>
            </w:r>
          </w:p>
        </w:tc>
        <w:bookmarkStart w:id="0" w:name="_GoBack"/>
        <w:bookmarkEnd w:id="0"/>
      </w:tr>
      <w:tr w:rsidR="00A735E5" w:rsidRPr="00A63458" w:rsidTr="00A735E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Jefferson</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center"/>
              <w:rPr>
                <w:rFonts w:ascii="Century Gothic" w:hAnsi="Century Gothic"/>
              </w:rPr>
            </w:pPr>
            <w:r>
              <w:rPr>
                <w:rFonts w:ascii="Century Gothic" w:hAnsi="Century Gothic"/>
              </w:rPr>
              <w:t>7.4</w:t>
            </w:r>
            <w:r w:rsidR="00A735E5" w:rsidRPr="00454D0E">
              <w:rPr>
                <w:rFonts w:ascii="Century Gothic" w:hAnsi="Century Gothic"/>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rsidP="003F7D52">
            <w:pPr>
              <w:jc w:val="center"/>
              <w:rPr>
                <w:rFonts w:ascii="Century Gothic" w:hAnsi="Century Gothic"/>
              </w:rPr>
            </w:pPr>
            <w:r w:rsidRPr="00454D0E">
              <w:rPr>
                <w:rFonts w:ascii="Century Gothic" w:hAnsi="Century Gothic"/>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center"/>
              <w:rPr>
                <w:rFonts w:ascii="Century Gothic" w:hAnsi="Century Gothic"/>
              </w:rPr>
            </w:pPr>
            <w:r>
              <w:rPr>
                <w:rFonts w:ascii="Century Gothic" w:hAnsi="Century Gothic"/>
              </w:rPr>
              <w:t>7.4</w:t>
            </w:r>
            <w:r w:rsidR="00A735E5" w:rsidRPr="00454D0E">
              <w:rPr>
                <w:rFonts w:ascii="Century Gothic" w:hAnsi="Century Gothic"/>
              </w:rPr>
              <w:t>0</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3</w:t>
            </w:r>
            <w:r w:rsidR="003F7D52">
              <w:rPr>
                <w:rFonts w:ascii="Century Gothic" w:hAnsi="Century Gothic"/>
              </w:rPr>
              <w:t>,</w:t>
            </w:r>
            <w:r w:rsidRPr="00454D0E">
              <w:rPr>
                <w:rFonts w:ascii="Century Gothic" w:hAnsi="Century Gothic"/>
              </w:rPr>
              <w:t>160</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right"/>
              <w:rPr>
                <w:rFonts w:ascii="Century Gothic" w:hAnsi="Century Gothic"/>
              </w:rPr>
            </w:pPr>
            <w:r>
              <w:rPr>
                <w:rFonts w:ascii="Century Gothic" w:hAnsi="Century Gothic"/>
              </w:rPr>
              <w:t>1948.67</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right"/>
              <w:rPr>
                <w:rFonts w:ascii="Century Gothic" w:hAnsi="Century Gothic"/>
              </w:rPr>
            </w:pPr>
            <w:r>
              <w:rPr>
                <w:rFonts w:ascii="Century Gothic" w:hAnsi="Century Gothic"/>
              </w:rPr>
              <w:t>23</w:t>
            </w:r>
            <w:r w:rsidR="003F7D52">
              <w:rPr>
                <w:rFonts w:ascii="Century Gothic" w:hAnsi="Century Gothic"/>
              </w:rPr>
              <w:t>,</w:t>
            </w:r>
            <w:r>
              <w:rPr>
                <w:rFonts w:ascii="Century Gothic" w:hAnsi="Century Gothic"/>
              </w:rPr>
              <w:t>384.00</w:t>
            </w:r>
          </w:p>
        </w:tc>
      </w:tr>
      <w:tr w:rsidR="00A735E5" w:rsidRPr="00A63458" w:rsidTr="00A735E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Mabry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center"/>
              <w:rPr>
                <w:rFonts w:ascii="Century Gothic" w:hAnsi="Century Gothic"/>
              </w:rPr>
            </w:pPr>
            <w:r>
              <w:rPr>
                <w:rFonts w:ascii="Century Gothic" w:hAnsi="Century Gothic"/>
              </w:rPr>
              <w:t>14.69</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A735E5" w:rsidRPr="00454D0E" w:rsidRDefault="00D60D23" w:rsidP="003F7D52">
            <w:pPr>
              <w:jc w:val="center"/>
              <w:rPr>
                <w:rFonts w:ascii="Century Gothic" w:hAnsi="Century Gothic"/>
              </w:rPr>
            </w:pPr>
            <w:r>
              <w:rPr>
                <w:rFonts w:ascii="Century Gothic" w:hAnsi="Century Gothic"/>
              </w:rPr>
              <w:t>5.27</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A735E5" w:rsidRPr="00454D0E" w:rsidRDefault="00D60D23" w:rsidP="003F7D52">
            <w:pPr>
              <w:jc w:val="center"/>
              <w:rPr>
                <w:rFonts w:ascii="Century Gothic" w:hAnsi="Century Gothic"/>
              </w:rPr>
            </w:pPr>
            <w:r>
              <w:rPr>
                <w:rFonts w:ascii="Century Gothic" w:hAnsi="Century Gothic"/>
              </w:rPr>
              <w:t>9.42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6</w:t>
            </w:r>
            <w:r w:rsidR="003F7D52">
              <w:rPr>
                <w:rFonts w:ascii="Century Gothic" w:hAnsi="Century Gothic"/>
              </w:rPr>
              <w:t>,</w:t>
            </w:r>
            <w:r w:rsidRPr="00454D0E">
              <w:rPr>
                <w:rFonts w:ascii="Century Gothic" w:hAnsi="Century Gothic"/>
              </w:rPr>
              <w:t>312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right"/>
              <w:rPr>
                <w:rFonts w:ascii="Century Gothic" w:hAnsi="Century Gothic"/>
              </w:rPr>
            </w:pPr>
            <w:r>
              <w:rPr>
                <w:rFonts w:ascii="Century Gothic" w:hAnsi="Century Gothic"/>
              </w:rPr>
              <w:t>4</w:t>
            </w:r>
            <w:r w:rsidR="003F7D52">
              <w:rPr>
                <w:rFonts w:ascii="Century Gothic" w:hAnsi="Century Gothic"/>
              </w:rPr>
              <w:t>,</w:t>
            </w:r>
            <w:r>
              <w:rPr>
                <w:rFonts w:ascii="Century Gothic" w:hAnsi="Century Gothic"/>
              </w:rPr>
              <w:t>954.92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3F7D52" w:rsidP="003F7D52">
            <w:pPr>
              <w:jc w:val="right"/>
              <w:rPr>
                <w:rFonts w:ascii="Century Gothic" w:hAnsi="Century Gothic"/>
              </w:rPr>
            </w:pPr>
            <w:r>
              <w:rPr>
                <w:rFonts w:ascii="Century Gothic" w:hAnsi="Century Gothic"/>
              </w:rPr>
              <w:t>59,459.04</w:t>
            </w:r>
          </w:p>
        </w:tc>
      </w:tr>
      <w:tr w:rsidR="00A735E5" w:rsidRPr="00A63458" w:rsidTr="003F7D52">
        <w:trPr>
          <w:trHeight w:val="268"/>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5E5" w:rsidRPr="00454D0E" w:rsidRDefault="00A735E5">
            <w:pPr>
              <w:rPr>
                <w:rFonts w:ascii="Century Gothic" w:hAnsi="Century Gothic"/>
              </w:rPr>
            </w:pPr>
            <w:r w:rsidRPr="00454D0E">
              <w:rPr>
                <w:rFonts w:ascii="Century Gothic" w:hAnsi="Century Gothic"/>
              </w:rPr>
              <w:t>South City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center"/>
              <w:rPr>
                <w:rFonts w:ascii="Century Gothic" w:hAnsi="Century Gothic"/>
              </w:rPr>
            </w:pPr>
            <w:r>
              <w:rPr>
                <w:rFonts w:ascii="Century Gothic" w:hAnsi="Century Gothic"/>
              </w:rPr>
              <w:t>9.06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center"/>
              <w:rPr>
                <w:rFonts w:ascii="Century Gothic" w:hAnsi="Century Gothic"/>
              </w:rPr>
            </w:pPr>
            <w:r>
              <w:rPr>
                <w:rFonts w:ascii="Century Gothic" w:hAnsi="Century Gothic"/>
              </w:rPr>
              <w:t>6.79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3F7D52" w:rsidRDefault="00D60D23" w:rsidP="003F7D52">
            <w:pPr>
              <w:jc w:val="center"/>
              <w:rPr>
                <w:rFonts w:ascii="Century Gothic" w:hAnsi="Century Gothic"/>
              </w:rPr>
            </w:pPr>
            <w:r w:rsidRPr="003F7D52">
              <w:rPr>
                <w:rFonts w:ascii="Century Gothic" w:hAnsi="Century Gothic"/>
              </w:rPr>
              <w:t>2.27</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pPr>
              <w:rPr>
                <w:rFonts w:ascii="Century Gothic" w:hAnsi="Century Gothic"/>
              </w:rPr>
            </w:pPr>
            <w:r>
              <w:rPr>
                <w:rFonts w:ascii="Century Gothic" w:hAnsi="Century Gothic"/>
              </w:rPr>
              <w:t>14</w:t>
            </w:r>
            <w:r w:rsidR="003F7D52">
              <w:rPr>
                <w:rFonts w:ascii="Century Gothic" w:hAnsi="Century Gothic"/>
              </w:rPr>
              <w:t>,</w:t>
            </w:r>
            <w:r>
              <w:rPr>
                <w:rFonts w:ascii="Century Gothic" w:hAnsi="Century Gothic"/>
              </w:rPr>
              <w:t>849</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right"/>
              <w:rPr>
                <w:rFonts w:ascii="Century Gothic" w:hAnsi="Century Gothic"/>
              </w:rPr>
            </w:pPr>
            <w:r>
              <w:rPr>
                <w:rFonts w:ascii="Century Gothic" w:hAnsi="Century Gothic"/>
              </w:rPr>
              <w:t>2</w:t>
            </w:r>
            <w:r w:rsidR="003F7D52">
              <w:rPr>
                <w:rFonts w:ascii="Century Gothic" w:hAnsi="Century Gothic"/>
              </w:rPr>
              <w:t>,</w:t>
            </w:r>
            <w:r>
              <w:rPr>
                <w:rFonts w:ascii="Century Gothic" w:hAnsi="Century Gothic"/>
              </w:rPr>
              <w:t>808.94</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454D0E" w:rsidRDefault="00D60D23" w:rsidP="003F7D52">
            <w:pPr>
              <w:jc w:val="right"/>
              <w:rPr>
                <w:rFonts w:ascii="Century Gothic" w:hAnsi="Century Gothic"/>
              </w:rPr>
            </w:pPr>
            <w:r>
              <w:rPr>
                <w:rFonts w:ascii="Century Gothic" w:hAnsi="Century Gothic"/>
              </w:rPr>
              <w:t>33</w:t>
            </w:r>
            <w:r w:rsidR="003F7D52">
              <w:rPr>
                <w:rFonts w:ascii="Century Gothic" w:hAnsi="Century Gothic"/>
              </w:rPr>
              <w:t>,</w:t>
            </w:r>
            <w:r>
              <w:rPr>
                <w:rFonts w:ascii="Century Gothic" w:hAnsi="Century Gothic"/>
              </w:rPr>
              <w:t>707.23</w:t>
            </w:r>
          </w:p>
        </w:tc>
      </w:tr>
      <w:tr w:rsidR="003F7D52" w:rsidTr="003F7D52">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7D52" w:rsidRPr="003F7D52" w:rsidRDefault="003F7D52">
            <w:pPr>
              <w:rPr>
                <w:rFonts w:ascii="Century Gothic" w:hAnsi="Century Gothic"/>
              </w:rPr>
            </w:pPr>
            <w:r w:rsidRPr="003F7D52">
              <w:rPr>
                <w:rFonts w:ascii="Century Gothic" w:hAnsi="Century Gothic"/>
              </w:rPr>
              <w:t>Main Office</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F7D52" w:rsidRPr="003F7D52" w:rsidRDefault="003F7D52" w:rsidP="003F7D52">
            <w:pPr>
              <w:jc w:val="center"/>
              <w:rPr>
                <w:rFonts w:ascii="Century Gothic" w:hAnsi="Century Gothic"/>
              </w:rPr>
            </w:pPr>
            <w:r>
              <w:rPr>
                <w:rFonts w:ascii="Century Gothic" w:hAnsi="Century Gothic"/>
              </w:rPr>
              <w:t>N/A</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F7D52" w:rsidRPr="003F7D52" w:rsidRDefault="003F7D52" w:rsidP="003F7D52">
            <w:pPr>
              <w:jc w:val="center"/>
              <w:rPr>
                <w:rFonts w:ascii="Century Gothic" w:hAnsi="Century Gothic"/>
              </w:rPr>
            </w:pPr>
            <w:r>
              <w:rPr>
                <w:rFonts w:ascii="Century Gothic" w:hAnsi="Century Gothic"/>
              </w:rPr>
              <w:t>1.42</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F7D52" w:rsidRPr="003F7D52" w:rsidRDefault="003F7D52">
            <w:pPr>
              <w:rPr>
                <w:rFonts w:ascii="Century Gothic" w:hAnsi="Century Gothic"/>
              </w:rPr>
            </w:pPr>
          </w:p>
        </w:tc>
        <w:tc>
          <w:tcPr>
            <w:tcW w:w="19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F7D52" w:rsidRPr="003F7D52" w:rsidRDefault="003F7D52">
            <w:pPr>
              <w:rPr>
                <w:rFonts w:ascii="Century Gothic" w:hAnsi="Century Gothic"/>
              </w:rPr>
            </w:pPr>
            <w:r>
              <w:rPr>
                <w:rFonts w:ascii="Century Gothic" w:hAnsi="Century Gothic"/>
              </w:rPr>
              <w:t>6,179</w:t>
            </w:r>
          </w:p>
        </w:tc>
        <w:tc>
          <w:tcPr>
            <w:tcW w:w="19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F7D52" w:rsidRPr="003F7D52" w:rsidRDefault="003F7D52" w:rsidP="003F7D52">
            <w:pPr>
              <w:jc w:val="right"/>
              <w:rPr>
                <w:rFonts w:ascii="Century Gothic" w:hAnsi="Century Gothic"/>
              </w:rPr>
            </w:pPr>
            <w:r>
              <w:rPr>
                <w:rFonts w:ascii="Century Gothic" w:hAnsi="Century Gothic"/>
              </w:rPr>
              <w:t>733.98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3F7D52" w:rsidRPr="003F7D52" w:rsidRDefault="003F7D52" w:rsidP="003F7D52">
            <w:pPr>
              <w:jc w:val="right"/>
              <w:rPr>
                <w:rFonts w:ascii="Century Gothic" w:hAnsi="Century Gothic"/>
                <w:highlight w:val="yellow"/>
              </w:rPr>
            </w:pPr>
            <w:r>
              <w:rPr>
                <w:rFonts w:ascii="Century Gothic" w:hAnsi="Century Gothic"/>
              </w:rPr>
              <w:t xml:space="preserve">  </w:t>
            </w:r>
            <w:r w:rsidRPr="003F7D52">
              <w:rPr>
                <w:rFonts w:ascii="Century Gothic" w:hAnsi="Century Gothic"/>
              </w:rPr>
              <w:t>8,807.73</w:t>
            </w:r>
          </w:p>
        </w:tc>
      </w:tr>
      <w:tr w:rsidR="00A735E5" w:rsidTr="00A735E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5E5" w:rsidRPr="003F7D52" w:rsidRDefault="00A735E5">
            <w:pPr>
              <w:rPr>
                <w:rFonts w:ascii="Century Gothic" w:hAnsi="Century Gothic"/>
              </w:rPr>
            </w:pPr>
            <w:r w:rsidRPr="003F7D52">
              <w:rPr>
                <w:rFonts w:ascii="Century Gothic" w:hAnsi="Century Gothic"/>
              </w:rPr>
              <w:t>Total</w:t>
            </w:r>
          </w:p>
        </w:tc>
        <w:tc>
          <w:tcPr>
            <w:tcW w:w="191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A735E5" w:rsidRPr="00A63458" w:rsidRDefault="00A735E5">
            <w:pPr>
              <w:rPr>
                <w:rFonts w:ascii="Century Gothic" w:hAnsi="Century Gothic"/>
                <w:highlight w:val="yellow"/>
              </w:rPr>
            </w:pPr>
          </w:p>
        </w:tc>
        <w:tc>
          <w:tcPr>
            <w:tcW w:w="191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A735E5" w:rsidRPr="00A63458" w:rsidRDefault="00A735E5">
            <w:pPr>
              <w:rPr>
                <w:rFonts w:ascii="Century Gothic" w:hAnsi="Century Gothic"/>
                <w:highlight w:val="yellow"/>
              </w:rPr>
            </w:pPr>
          </w:p>
        </w:tc>
        <w:tc>
          <w:tcPr>
            <w:tcW w:w="191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A735E5" w:rsidRPr="00A63458" w:rsidRDefault="00A735E5">
            <w:pPr>
              <w:rPr>
                <w:rFonts w:ascii="Century Gothic" w:hAnsi="Century Gothic"/>
                <w:highlight w:val="yellow"/>
              </w:rPr>
            </w:pPr>
          </w:p>
        </w:tc>
        <w:tc>
          <w:tcPr>
            <w:tcW w:w="1916"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A735E5" w:rsidRPr="00A63458" w:rsidRDefault="00A735E5">
            <w:pPr>
              <w:rPr>
                <w:rFonts w:ascii="Century Gothic" w:hAnsi="Century Gothic"/>
                <w:highlight w:val="yellow"/>
              </w:rPr>
            </w:pPr>
          </w:p>
        </w:tc>
        <w:tc>
          <w:tcPr>
            <w:tcW w:w="1916"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A735E5" w:rsidRPr="00A63458" w:rsidRDefault="00A735E5">
            <w:pPr>
              <w:rPr>
                <w:rFonts w:ascii="Century Gothic" w:hAnsi="Century Gothic"/>
                <w:highlight w:val="yellow"/>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735E5" w:rsidRPr="00757A90" w:rsidRDefault="00FA3FE4" w:rsidP="003F7D52">
            <w:pPr>
              <w:jc w:val="right"/>
              <w:rPr>
                <w:rFonts w:ascii="Century Gothic" w:hAnsi="Century Gothic"/>
                <w:b/>
              </w:rPr>
            </w:pPr>
            <w:r w:rsidRPr="003F7D52">
              <w:rPr>
                <w:rFonts w:ascii="Century Gothic" w:hAnsi="Century Gothic"/>
                <w:b/>
              </w:rPr>
              <w:t>132,000</w:t>
            </w:r>
            <w:r w:rsidR="003F7D52" w:rsidRPr="003F7D52">
              <w:rPr>
                <w:rFonts w:ascii="Century Gothic" w:hAnsi="Century Gothic"/>
                <w:b/>
              </w:rPr>
              <w:t>.00</w:t>
            </w:r>
          </w:p>
        </w:tc>
      </w:tr>
    </w:tbl>
    <w:p w:rsidR="00A63458" w:rsidRDefault="00A63458" w:rsidP="003F500E">
      <w:pPr>
        <w:pStyle w:val="Header"/>
        <w:tabs>
          <w:tab w:val="clear" w:pos="4320"/>
          <w:tab w:val="clear" w:pos="8640"/>
        </w:tabs>
        <w:rPr>
          <w:b/>
          <w:szCs w:val="24"/>
          <w:u w:val="single"/>
        </w:rPr>
      </w:pPr>
    </w:p>
    <w:p w:rsidR="00245F3D" w:rsidRDefault="00245F3D" w:rsidP="003F500E">
      <w:pPr>
        <w:pStyle w:val="Header"/>
        <w:tabs>
          <w:tab w:val="clear" w:pos="4320"/>
          <w:tab w:val="clear" w:pos="8640"/>
        </w:tabs>
        <w:rPr>
          <w:b/>
          <w:szCs w:val="24"/>
          <w:u w:val="single"/>
        </w:rPr>
      </w:pPr>
    </w:p>
    <w:p w:rsidR="00A63458" w:rsidRPr="00A63458" w:rsidRDefault="00A63458" w:rsidP="003F500E">
      <w:pPr>
        <w:pStyle w:val="Header"/>
        <w:tabs>
          <w:tab w:val="clear" w:pos="4320"/>
          <w:tab w:val="clear" w:pos="8640"/>
        </w:tabs>
        <w:rPr>
          <w:b/>
          <w:szCs w:val="24"/>
          <w:u w:val="single"/>
        </w:rPr>
      </w:pPr>
      <w:r w:rsidRPr="00A63458">
        <w:rPr>
          <w:b/>
          <w:szCs w:val="24"/>
          <w:u w:val="single"/>
        </w:rPr>
        <w:t>Child Services Consultants</w:t>
      </w:r>
      <w:r w:rsidR="0013331A">
        <w:rPr>
          <w:b/>
          <w:szCs w:val="24"/>
          <w:u w:val="single"/>
        </w:rPr>
        <w:t xml:space="preserve">:  </w:t>
      </w:r>
      <w:r w:rsidR="00FA3FE4">
        <w:rPr>
          <w:b/>
          <w:szCs w:val="24"/>
          <w:u w:val="single"/>
        </w:rPr>
        <w:t>$215</w:t>
      </w:r>
      <w:r w:rsidRPr="00A63458">
        <w:rPr>
          <w:b/>
          <w:szCs w:val="24"/>
          <w:u w:val="single"/>
        </w:rPr>
        <w:t>,0</w:t>
      </w:r>
      <w:r w:rsidR="0013331A">
        <w:rPr>
          <w:b/>
          <w:szCs w:val="24"/>
          <w:u w:val="single"/>
        </w:rPr>
        <w:t>00</w:t>
      </w:r>
    </w:p>
    <w:p w:rsidR="00A63458" w:rsidRDefault="00A63458" w:rsidP="00597C93">
      <w:pPr>
        <w:pStyle w:val="Header"/>
        <w:numPr>
          <w:ilvl w:val="0"/>
          <w:numId w:val="7"/>
        </w:numPr>
        <w:tabs>
          <w:tab w:val="clear" w:pos="4320"/>
          <w:tab w:val="clear" w:pos="8640"/>
        </w:tabs>
        <w:rPr>
          <w:szCs w:val="24"/>
        </w:rPr>
      </w:pPr>
      <w:r>
        <w:rPr>
          <w:szCs w:val="24"/>
        </w:rPr>
        <w:t>Professionals providing Mental Health, Disabilities Services and Obesity Prevention Services discount contract</w:t>
      </w:r>
      <w:r w:rsidR="00FA3FE4">
        <w:rPr>
          <w:szCs w:val="24"/>
        </w:rPr>
        <w:t>ed services to the program ($215</w:t>
      </w:r>
      <w:r>
        <w:rPr>
          <w:szCs w:val="24"/>
        </w:rPr>
        <w:t>,000)</w:t>
      </w:r>
    </w:p>
    <w:p w:rsidR="00245F3D" w:rsidRDefault="00245F3D" w:rsidP="00245F3D">
      <w:pPr>
        <w:pStyle w:val="Header"/>
        <w:tabs>
          <w:tab w:val="clear" w:pos="4320"/>
          <w:tab w:val="clear" w:pos="8640"/>
        </w:tabs>
        <w:rPr>
          <w:szCs w:val="24"/>
        </w:rPr>
      </w:pPr>
    </w:p>
    <w:p w:rsidR="00245F3D" w:rsidRDefault="00245F3D" w:rsidP="00245F3D">
      <w:pPr>
        <w:pStyle w:val="Header"/>
        <w:tabs>
          <w:tab w:val="clear" w:pos="4320"/>
          <w:tab w:val="clear" w:pos="8640"/>
        </w:tabs>
        <w:rPr>
          <w:szCs w:val="24"/>
        </w:rPr>
      </w:pPr>
    </w:p>
    <w:p w:rsidR="00245F3D" w:rsidRDefault="00245F3D" w:rsidP="00245F3D">
      <w:pPr>
        <w:pStyle w:val="Header"/>
        <w:tabs>
          <w:tab w:val="clear" w:pos="4320"/>
          <w:tab w:val="clear" w:pos="8640"/>
        </w:tabs>
        <w:rPr>
          <w:szCs w:val="24"/>
        </w:rPr>
      </w:pPr>
    </w:p>
    <w:p w:rsidR="00245F3D" w:rsidRDefault="00245F3D" w:rsidP="00245F3D">
      <w:pPr>
        <w:pStyle w:val="Header"/>
        <w:tabs>
          <w:tab w:val="clear" w:pos="4320"/>
          <w:tab w:val="clear" w:pos="8640"/>
        </w:tabs>
        <w:rPr>
          <w:szCs w:val="24"/>
        </w:rPr>
      </w:pPr>
    </w:p>
    <w:p w:rsidR="00A63458" w:rsidRPr="00597C93" w:rsidRDefault="0013331A" w:rsidP="003F500E">
      <w:pPr>
        <w:pStyle w:val="Header"/>
        <w:tabs>
          <w:tab w:val="clear" w:pos="4320"/>
          <w:tab w:val="clear" w:pos="8640"/>
        </w:tabs>
        <w:rPr>
          <w:b/>
          <w:szCs w:val="24"/>
          <w:u w:val="single"/>
        </w:rPr>
      </w:pPr>
      <w:r>
        <w:rPr>
          <w:b/>
          <w:szCs w:val="24"/>
          <w:u w:val="single"/>
        </w:rPr>
        <w:t xml:space="preserve">Volunteers: </w:t>
      </w:r>
      <w:r w:rsidR="00A63458" w:rsidRPr="00597C93">
        <w:rPr>
          <w:b/>
          <w:szCs w:val="24"/>
          <w:u w:val="single"/>
        </w:rPr>
        <w:t>$</w:t>
      </w:r>
      <w:r w:rsidR="00FA3FE4">
        <w:rPr>
          <w:b/>
          <w:szCs w:val="24"/>
          <w:u w:val="single"/>
        </w:rPr>
        <w:t>72,050</w:t>
      </w:r>
    </w:p>
    <w:p w:rsidR="00A63458" w:rsidRDefault="00A63458" w:rsidP="00597C93">
      <w:pPr>
        <w:pStyle w:val="Header"/>
        <w:numPr>
          <w:ilvl w:val="0"/>
          <w:numId w:val="7"/>
        </w:numPr>
        <w:tabs>
          <w:tab w:val="clear" w:pos="4320"/>
          <w:tab w:val="clear" w:pos="8640"/>
        </w:tabs>
        <w:rPr>
          <w:szCs w:val="24"/>
        </w:rPr>
      </w:pPr>
      <w:r>
        <w:rPr>
          <w:szCs w:val="24"/>
        </w:rPr>
        <w:t xml:space="preserve">The program has many volunteers who provide assistance in the classroom, </w:t>
      </w:r>
      <w:r w:rsidR="00597C93">
        <w:rPr>
          <w:szCs w:val="24"/>
        </w:rPr>
        <w:t>labor for maintenance, Policy Council members and help</w:t>
      </w:r>
      <w:r w:rsidR="00FA3FE4">
        <w:rPr>
          <w:szCs w:val="24"/>
        </w:rPr>
        <w:t>ing with special events ($72,050</w:t>
      </w:r>
      <w:r w:rsidR="00597C93">
        <w:rPr>
          <w:szCs w:val="24"/>
        </w:rPr>
        <w:t>)</w:t>
      </w:r>
    </w:p>
    <w:p w:rsidR="00245F3D" w:rsidRPr="00A63458" w:rsidRDefault="00245F3D" w:rsidP="00245F3D">
      <w:pPr>
        <w:pStyle w:val="Header"/>
        <w:tabs>
          <w:tab w:val="clear" w:pos="4320"/>
          <w:tab w:val="clear" w:pos="8640"/>
        </w:tabs>
        <w:ind w:left="720"/>
        <w:rPr>
          <w:szCs w:val="24"/>
        </w:rPr>
      </w:pPr>
    </w:p>
    <w:p w:rsidR="004B2E79" w:rsidRPr="00597C93" w:rsidRDefault="00597C93" w:rsidP="00597C93">
      <w:pPr>
        <w:pStyle w:val="Header"/>
        <w:tabs>
          <w:tab w:val="clear" w:pos="4320"/>
          <w:tab w:val="clear" w:pos="8640"/>
        </w:tabs>
        <w:rPr>
          <w:b/>
          <w:szCs w:val="24"/>
          <w:u w:val="single"/>
        </w:rPr>
      </w:pPr>
      <w:r w:rsidRPr="00597C93">
        <w:rPr>
          <w:b/>
          <w:szCs w:val="24"/>
          <w:u w:val="single"/>
        </w:rPr>
        <w:t>Other In-Kind:</w:t>
      </w:r>
      <w:r w:rsidR="00ED6CDD">
        <w:rPr>
          <w:b/>
          <w:szCs w:val="24"/>
          <w:u w:val="single"/>
        </w:rPr>
        <w:t xml:space="preserve"> $65,000</w:t>
      </w:r>
    </w:p>
    <w:p w:rsidR="00597C93" w:rsidRDefault="00ED6CDD" w:rsidP="00597C93">
      <w:pPr>
        <w:pStyle w:val="Header"/>
        <w:numPr>
          <w:ilvl w:val="0"/>
          <w:numId w:val="7"/>
        </w:numPr>
        <w:tabs>
          <w:tab w:val="clear" w:pos="4320"/>
          <w:tab w:val="clear" w:pos="8640"/>
        </w:tabs>
        <w:rPr>
          <w:szCs w:val="24"/>
        </w:rPr>
      </w:pPr>
      <w:r>
        <w:rPr>
          <w:szCs w:val="24"/>
        </w:rPr>
        <w:t>Vendor discounts ($34,000); Community partnerships ($6,000); Special events ($12,500) and cash donations ($12,5</w:t>
      </w:r>
      <w:r w:rsidR="00597C93">
        <w:rPr>
          <w:szCs w:val="24"/>
        </w:rPr>
        <w:t>00)</w:t>
      </w:r>
    </w:p>
    <w:p w:rsidR="00785385" w:rsidRDefault="00785385" w:rsidP="00785385">
      <w:pPr>
        <w:pStyle w:val="Header"/>
        <w:pBdr>
          <w:bottom w:val="single" w:sz="12" w:space="1" w:color="auto"/>
        </w:pBdr>
        <w:tabs>
          <w:tab w:val="clear" w:pos="4320"/>
          <w:tab w:val="clear" w:pos="8640"/>
        </w:tabs>
        <w:rPr>
          <w:szCs w:val="24"/>
        </w:rPr>
      </w:pPr>
    </w:p>
    <w:p w:rsidR="00785385" w:rsidRPr="00785385" w:rsidRDefault="008A5C1F" w:rsidP="00785385">
      <w:pPr>
        <w:pStyle w:val="Header"/>
        <w:tabs>
          <w:tab w:val="clear" w:pos="4320"/>
          <w:tab w:val="clear" w:pos="8640"/>
        </w:tabs>
        <w:rPr>
          <w:b/>
          <w:szCs w:val="24"/>
        </w:rPr>
      </w:pPr>
      <w:r>
        <w:rPr>
          <w:b/>
          <w:szCs w:val="24"/>
        </w:rPr>
        <w:t>TOTAL NON-FEDERAL CONTRIBUTION</w:t>
      </w:r>
      <w:r w:rsidR="00785385" w:rsidRPr="00785385">
        <w:rPr>
          <w:b/>
          <w:szCs w:val="24"/>
        </w:rPr>
        <w:tab/>
      </w:r>
      <w:r w:rsidR="00785385" w:rsidRPr="00785385">
        <w:rPr>
          <w:b/>
          <w:szCs w:val="24"/>
        </w:rPr>
        <w:tab/>
      </w:r>
      <w:r w:rsidR="00785385" w:rsidRPr="00785385">
        <w:rPr>
          <w:b/>
          <w:szCs w:val="24"/>
        </w:rPr>
        <w:tab/>
      </w:r>
      <w:r w:rsidR="00785385" w:rsidRPr="00785385">
        <w:rPr>
          <w:b/>
          <w:szCs w:val="24"/>
        </w:rPr>
        <w:tab/>
        <w:t xml:space="preserve">          </w:t>
      </w:r>
      <w:r w:rsidR="00785385">
        <w:rPr>
          <w:b/>
          <w:szCs w:val="24"/>
        </w:rPr>
        <w:t xml:space="preserve">    </w:t>
      </w:r>
      <w:r w:rsidR="00785385" w:rsidRPr="00785385">
        <w:rPr>
          <w:b/>
          <w:szCs w:val="24"/>
        </w:rPr>
        <w:t xml:space="preserve">       </w:t>
      </w:r>
      <w:r w:rsidR="00ED6CDD">
        <w:rPr>
          <w:b/>
          <w:szCs w:val="24"/>
          <w:highlight w:val="yellow"/>
        </w:rPr>
        <w:t>$</w:t>
      </w:r>
      <w:r w:rsidR="00ED6CDD" w:rsidRPr="00ED6CDD">
        <w:rPr>
          <w:b/>
          <w:szCs w:val="24"/>
          <w:highlight w:val="yellow"/>
        </w:rPr>
        <w:t>881,331</w:t>
      </w:r>
    </w:p>
    <w:sectPr w:rsidR="00785385" w:rsidRPr="00785385" w:rsidSect="00010CFD">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A4" w:rsidRDefault="001268A4" w:rsidP="00BE3739">
      <w:r>
        <w:separator/>
      </w:r>
    </w:p>
  </w:endnote>
  <w:endnote w:type="continuationSeparator" w:id="0">
    <w:p w:rsidR="001268A4" w:rsidRDefault="001268A4" w:rsidP="00BE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A4" w:rsidRDefault="001268A4" w:rsidP="00BE3739">
      <w:r>
        <w:separator/>
      </w:r>
    </w:p>
  </w:footnote>
  <w:footnote w:type="continuationSeparator" w:id="0">
    <w:p w:rsidR="001268A4" w:rsidRDefault="001268A4" w:rsidP="00BE3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1" w:rsidRDefault="00010CFD" w:rsidP="00BE3739">
    <w:pPr>
      <w:pStyle w:val="Header"/>
      <w:jc w:val="center"/>
      <w:rPr>
        <w:b/>
      </w:rPr>
    </w:pPr>
    <w:r>
      <w:rPr>
        <w:b/>
      </w:rPr>
      <w:t xml:space="preserve">Capital Area Community </w:t>
    </w:r>
    <w:r w:rsidR="00BE3739" w:rsidRPr="00BE3739">
      <w:rPr>
        <w:b/>
      </w:rPr>
      <w:t xml:space="preserve">Action Agency </w:t>
    </w:r>
  </w:p>
  <w:p w:rsidR="00BE3739" w:rsidRDefault="00BE3739" w:rsidP="00BE3739">
    <w:pPr>
      <w:pStyle w:val="Header"/>
      <w:jc w:val="center"/>
      <w:rPr>
        <w:b/>
      </w:rPr>
    </w:pPr>
    <w:r w:rsidRPr="00BE3739">
      <w:rPr>
        <w:b/>
      </w:rPr>
      <w:t>Budget Justification</w:t>
    </w:r>
    <w:r w:rsidR="00B31A01">
      <w:rPr>
        <w:b/>
      </w:rPr>
      <w:t xml:space="preserve"> Narrative</w:t>
    </w:r>
  </w:p>
  <w:p w:rsidR="00BE3739" w:rsidRPr="00BE3739" w:rsidRDefault="00010CFD" w:rsidP="00BE3739">
    <w:pPr>
      <w:pStyle w:val="Header"/>
      <w:jc w:val="center"/>
      <w:rPr>
        <w:b/>
      </w:rPr>
    </w:pPr>
    <w:r>
      <w:rPr>
        <w:b/>
      </w:rPr>
      <w:t>July 1, 2020</w:t>
    </w:r>
    <w:r w:rsidR="00BE3739">
      <w:rPr>
        <w:b/>
      </w:rPr>
      <w:t xml:space="preserve">- </w:t>
    </w:r>
    <w:r>
      <w:rPr>
        <w:b/>
      </w:rPr>
      <w:t>June</w:t>
    </w:r>
    <w:r w:rsidR="00C52C2E">
      <w:rPr>
        <w:b/>
      </w:rPr>
      <w:t xml:space="preserve"> </w:t>
    </w:r>
    <w:r>
      <w:rPr>
        <w:b/>
      </w:rPr>
      <w:t>30, 2021</w:t>
    </w:r>
  </w:p>
  <w:p w:rsidR="00BE3739" w:rsidRDefault="00BE3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3EF"/>
    <w:multiLevelType w:val="hybridMultilevel"/>
    <w:tmpl w:val="154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208AA"/>
    <w:multiLevelType w:val="hybridMultilevel"/>
    <w:tmpl w:val="277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C1A8B"/>
    <w:multiLevelType w:val="hybridMultilevel"/>
    <w:tmpl w:val="EC4E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A00DE"/>
    <w:multiLevelType w:val="hybridMultilevel"/>
    <w:tmpl w:val="335EF278"/>
    <w:lvl w:ilvl="0" w:tplc="9C968D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21BD2"/>
    <w:multiLevelType w:val="hybridMultilevel"/>
    <w:tmpl w:val="1B2E21BC"/>
    <w:lvl w:ilvl="0" w:tplc="6CF0D37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77828"/>
    <w:multiLevelType w:val="hybridMultilevel"/>
    <w:tmpl w:val="E6503B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60A72EFD"/>
    <w:multiLevelType w:val="hybridMultilevel"/>
    <w:tmpl w:val="B48C13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B70290"/>
    <w:multiLevelType w:val="hybridMultilevel"/>
    <w:tmpl w:val="C096A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D778B"/>
    <w:multiLevelType w:val="hybridMultilevel"/>
    <w:tmpl w:val="DC4C1006"/>
    <w:lvl w:ilvl="0" w:tplc="6CF0D3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91522"/>
    <w:multiLevelType w:val="hybridMultilevel"/>
    <w:tmpl w:val="350C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0"/>
  </w:num>
  <w:num w:numId="6">
    <w:abstractNumId w:val="2"/>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C"/>
    <w:rsid w:val="0000080A"/>
    <w:rsid w:val="0000260D"/>
    <w:rsid w:val="00010CFD"/>
    <w:rsid w:val="00012DF9"/>
    <w:rsid w:val="000141C1"/>
    <w:rsid w:val="00015A8B"/>
    <w:rsid w:val="00022CE4"/>
    <w:rsid w:val="00034BDA"/>
    <w:rsid w:val="00060127"/>
    <w:rsid w:val="00060247"/>
    <w:rsid w:val="000714B0"/>
    <w:rsid w:val="000800A8"/>
    <w:rsid w:val="00085BE8"/>
    <w:rsid w:val="000864C8"/>
    <w:rsid w:val="00087A1B"/>
    <w:rsid w:val="000D01AD"/>
    <w:rsid w:val="000F20C2"/>
    <w:rsid w:val="0010544F"/>
    <w:rsid w:val="00111C81"/>
    <w:rsid w:val="00114F3F"/>
    <w:rsid w:val="001268A4"/>
    <w:rsid w:val="0013331A"/>
    <w:rsid w:val="001417F7"/>
    <w:rsid w:val="0017553F"/>
    <w:rsid w:val="001D3EFD"/>
    <w:rsid w:val="001D75CB"/>
    <w:rsid w:val="001E5B60"/>
    <w:rsid w:val="002073C1"/>
    <w:rsid w:val="0021295E"/>
    <w:rsid w:val="002144FD"/>
    <w:rsid w:val="002175B5"/>
    <w:rsid w:val="00225843"/>
    <w:rsid w:val="0024183B"/>
    <w:rsid w:val="00241F37"/>
    <w:rsid w:val="00245F3D"/>
    <w:rsid w:val="002547FD"/>
    <w:rsid w:val="00281A0A"/>
    <w:rsid w:val="0029498A"/>
    <w:rsid w:val="00296B05"/>
    <w:rsid w:val="002A7F3D"/>
    <w:rsid w:val="002E3E77"/>
    <w:rsid w:val="002E4793"/>
    <w:rsid w:val="00326178"/>
    <w:rsid w:val="00330755"/>
    <w:rsid w:val="003520F5"/>
    <w:rsid w:val="003556F5"/>
    <w:rsid w:val="00356CA8"/>
    <w:rsid w:val="00387568"/>
    <w:rsid w:val="00390E07"/>
    <w:rsid w:val="0039382A"/>
    <w:rsid w:val="003A5CAE"/>
    <w:rsid w:val="003A648A"/>
    <w:rsid w:val="003D25DB"/>
    <w:rsid w:val="003D6969"/>
    <w:rsid w:val="003E706E"/>
    <w:rsid w:val="003F500E"/>
    <w:rsid w:val="003F7D52"/>
    <w:rsid w:val="004040FB"/>
    <w:rsid w:val="004068EC"/>
    <w:rsid w:val="00410A4B"/>
    <w:rsid w:val="00431FF9"/>
    <w:rsid w:val="00453C67"/>
    <w:rsid w:val="00453EB2"/>
    <w:rsid w:val="00454D0E"/>
    <w:rsid w:val="00472894"/>
    <w:rsid w:val="004746BA"/>
    <w:rsid w:val="004874DD"/>
    <w:rsid w:val="00487B0C"/>
    <w:rsid w:val="004A0C80"/>
    <w:rsid w:val="004B1007"/>
    <w:rsid w:val="004B1D18"/>
    <w:rsid w:val="004B2E79"/>
    <w:rsid w:val="004B2F72"/>
    <w:rsid w:val="004E1C57"/>
    <w:rsid w:val="005035B3"/>
    <w:rsid w:val="00514106"/>
    <w:rsid w:val="00551125"/>
    <w:rsid w:val="005806BB"/>
    <w:rsid w:val="0059669E"/>
    <w:rsid w:val="00597C93"/>
    <w:rsid w:val="005A07F7"/>
    <w:rsid w:val="005C20AB"/>
    <w:rsid w:val="005C49A8"/>
    <w:rsid w:val="005D288B"/>
    <w:rsid w:val="005E4DD0"/>
    <w:rsid w:val="005F4E41"/>
    <w:rsid w:val="00607712"/>
    <w:rsid w:val="00640E8F"/>
    <w:rsid w:val="00646201"/>
    <w:rsid w:val="00663D37"/>
    <w:rsid w:val="00690035"/>
    <w:rsid w:val="00693B3C"/>
    <w:rsid w:val="0069664D"/>
    <w:rsid w:val="006B1A3C"/>
    <w:rsid w:val="006B7F01"/>
    <w:rsid w:val="006C6E9B"/>
    <w:rsid w:val="006E41AB"/>
    <w:rsid w:val="006E4870"/>
    <w:rsid w:val="006F7446"/>
    <w:rsid w:val="00701BF8"/>
    <w:rsid w:val="007043FA"/>
    <w:rsid w:val="00710B88"/>
    <w:rsid w:val="007159A0"/>
    <w:rsid w:val="00717476"/>
    <w:rsid w:val="0072027F"/>
    <w:rsid w:val="00721A4C"/>
    <w:rsid w:val="0072249E"/>
    <w:rsid w:val="00730BAF"/>
    <w:rsid w:val="00732174"/>
    <w:rsid w:val="007356A3"/>
    <w:rsid w:val="00735BDE"/>
    <w:rsid w:val="00736FCC"/>
    <w:rsid w:val="00741388"/>
    <w:rsid w:val="00757A90"/>
    <w:rsid w:val="00765E5D"/>
    <w:rsid w:val="00766EC7"/>
    <w:rsid w:val="007679F6"/>
    <w:rsid w:val="00785385"/>
    <w:rsid w:val="007A618F"/>
    <w:rsid w:val="007C379A"/>
    <w:rsid w:val="007C6F11"/>
    <w:rsid w:val="007D5DC9"/>
    <w:rsid w:val="007F3D5E"/>
    <w:rsid w:val="007F7106"/>
    <w:rsid w:val="00803DC8"/>
    <w:rsid w:val="0083019A"/>
    <w:rsid w:val="00855205"/>
    <w:rsid w:val="008671AC"/>
    <w:rsid w:val="00870EE9"/>
    <w:rsid w:val="00880818"/>
    <w:rsid w:val="008A5C1F"/>
    <w:rsid w:val="00910168"/>
    <w:rsid w:val="00944A5D"/>
    <w:rsid w:val="00954A8D"/>
    <w:rsid w:val="00956081"/>
    <w:rsid w:val="009642C2"/>
    <w:rsid w:val="0098029B"/>
    <w:rsid w:val="009900BF"/>
    <w:rsid w:val="00996DCB"/>
    <w:rsid w:val="009D1279"/>
    <w:rsid w:val="009E264D"/>
    <w:rsid w:val="009E3AAA"/>
    <w:rsid w:val="009E4595"/>
    <w:rsid w:val="00A04FCA"/>
    <w:rsid w:val="00A133F3"/>
    <w:rsid w:val="00A3080E"/>
    <w:rsid w:val="00A33D00"/>
    <w:rsid w:val="00A35521"/>
    <w:rsid w:val="00A63458"/>
    <w:rsid w:val="00A66310"/>
    <w:rsid w:val="00A735E5"/>
    <w:rsid w:val="00A73D14"/>
    <w:rsid w:val="00AD5513"/>
    <w:rsid w:val="00B05B51"/>
    <w:rsid w:val="00B118BA"/>
    <w:rsid w:val="00B31A01"/>
    <w:rsid w:val="00B44445"/>
    <w:rsid w:val="00B526DC"/>
    <w:rsid w:val="00B55D4D"/>
    <w:rsid w:val="00B604AD"/>
    <w:rsid w:val="00B65030"/>
    <w:rsid w:val="00B73435"/>
    <w:rsid w:val="00B7524C"/>
    <w:rsid w:val="00B837D2"/>
    <w:rsid w:val="00BE3739"/>
    <w:rsid w:val="00BE558F"/>
    <w:rsid w:val="00C202D8"/>
    <w:rsid w:val="00C3320F"/>
    <w:rsid w:val="00C36700"/>
    <w:rsid w:val="00C433AC"/>
    <w:rsid w:val="00C433BB"/>
    <w:rsid w:val="00C52C2E"/>
    <w:rsid w:val="00C559BC"/>
    <w:rsid w:val="00CA0961"/>
    <w:rsid w:val="00CA7E3B"/>
    <w:rsid w:val="00CB2558"/>
    <w:rsid w:val="00CC14E9"/>
    <w:rsid w:val="00CE1FE3"/>
    <w:rsid w:val="00CF0A1C"/>
    <w:rsid w:val="00D052E0"/>
    <w:rsid w:val="00D4377A"/>
    <w:rsid w:val="00D437C6"/>
    <w:rsid w:val="00D5096B"/>
    <w:rsid w:val="00D60D23"/>
    <w:rsid w:val="00D621A7"/>
    <w:rsid w:val="00D638FB"/>
    <w:rsid w:val="00D64AB8"/>
    <w:rsid w:val="00D845F4"/>
    <w:rsid w:val="00D85A80"/>
    <w:rsid w:val="00D90CF2"/>
    <w:rsid w:val="00DA3006"/>
    <w:rsid w:val="00DB643D"/>
    <w:rsid w:val="00DB74FA"/>
    <w:rsid w:val="00DC4B6D"/>
    <w:rsid w:val="00DC612A"/>
    <w:rsid w:val="00DE34F6"/>
    <w:rsid w:val="00DF57A0"/>
    <w:rsid w:val="00E010CF"/>
    <w:rsid w:val="00E2353C"/>
    <w:rsid w:val="00E2405E"/>
    <w:rsid w:val="00E40EC2"/>
    <w:rsid w:val="00E47702"/>
    <w:rsid w:val="00E6227F"/>
    <w:rsid w:val="00E7077F"/>
    <w:rsid w:val="00E733EF"/>
    <w:rsid w:val="00E8261B"/>
    <w:rsid w:val="00E95383"/>
    <w:rsid w:val="00EA7752"/>
    <w:rsid w:val="00EB7A10"/>
    <w:rsid w:val="00EC0271"/>
    <w:rsid w:val="00EC614D"/>
    <w:rsid w:val="00ED5FAF"/>
    <w:rsid w:val="00ED635A"/>
    <w:rsid w:val="00ED6CDD"/>
    <w:rsid w:val="00EF4207"/>
    <w:rsid w:val="00F114C1"/>
    <w:rsid w:val="00F13EBF"/>
    <w:rsid w:val="00F32498"/>
    <w:rsid w:val="00F331B0"/>
    <w:rsid w:val="00F334E5"/>
    <w:rsid w:val="00F35E2E"/>
    <w:rsid w:val="00F416BA"/>
    <w:rsid w:val="00F5361F"/>
    <w:rsid w:val="00F569D1"/>
    <w:rsid w:val="00F705A7"/>
    <w:rsid w:val="00F779DD"/>
    <w:rsid w:val="00F914D0"/>
    <w:rsid w:val="00F93FB4"/>
    <w:rsid w:val="00F95C96"/>
    <w:rsid w:val="00FA3FE4"/>
    <w:rsid w:val="00FA7B57"/>
    <w:rsid w:val="00FB1E11"/>
    <w:rsid w:val="00FB3D74"/>
    <w:rsid w:val="00FC170B"/>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6FCC"/>
    <w:pPr>
      <w:jc w:val="both"/>
    </w:pPr>
    <w:rPr>
      <w:rFonts w:ascii="Arial" w:hAnsi="Arial"/>
      <w:sz w:val="24"/>
    </w:rPr>
  </w:style>
  <w:style w:type="character" w:customStyle="1" w:styleId="BodyTextChar">
    <w:name w:val="Body Text Char"/>
    <w:basedOn w:val="DefaultParagraphFont"/>
    <w:link w:val="BodyText"/>
    <w:rsid w:val="00736FCC"/>
    <w:rPr>
      <w:rFonts w:ascii="Arial" w:eastAsia="Times New Roman" w:hAnsi="Arial" w:cs="Times New Roman"/>
      <w:sz w:val="24"/>
      <w:szCs w:val="20"/>
    </w:rPr>
  </w:style>
  <w:style w:type="paragraph" w:styleId="NormalWeb">
    <w:name w:val="Normal (Web)"/>
    <w:basedOn w:val="Normal"/>
    <w:rsid w:val="00736FCC"/>
    <w:rPr>
      <w:sz w:val="24"/>
      <w:szCs w:val="24"/>
    </w:rPr>
  </w:style>
  <w:style w:type="paragraph" w:styleId="NoSpacing">
    <w:name w:val="No Spacing"/>
    <w:uiPriority w:val="1"/>
    <w:qFormat/>
    <w:rsid w:val="00736FC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FCC"/>
    <w:pPr>
      <w:ind w:left="720"/>
      <w:contextualSpacing/>
    </w:pPr>
  </w:style>
  <w:style w:type="paragraph" w:styleId="Header">
    <w:name w:val="header"/>
    <w:basedOn w:val="Normal"/>
    <w:link w:val="HeaderChar"/>
    <w:uiPriority w:val="99"/>
    <w:rsid w:val="00736FCC"/>
    <w:pPr>
      <w:tabs>
        <w:tab w:val="center" w:pos="4320"/>
        <w:tab w:val="right" w:pos="8640"/>
      </w:tabs>
    </w:pPr>
    <w:rPr>
      <w:sz w:val="24"/>
    </w:rPr>
  </w:style>
  <w:style w:type="character" w:customStyle="1" w:styleId="HeaderChar">
    <w:name w:val="Header Char"/>
    <w:basedOn w:val="DefaultParagraphFont"/>
    <w:link w:val="Header"/>
    <w:uiPriority w:val="99"/>
    <w:rsid w:val="00736FC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36FCC"/>
    <w:rPr>
      <w:sz w:val="16"/>
      <w:szCs w:val="16"/>
    </w:rPr>
  </w:style>
  <w:style w:type="paragraph" w:styleId="CommentText">
    <w:name w:val="annotation text"/>
    <w:basedOn w:val="Normal"/>
    <w:link w:val="CommentTextChar"/>
    <w:uiPriority w:val="99"/>
    <w:semiHidden/>
    <w:unhideWhenUsed/>
    <w:rsid w:val="00736FCC"/>
  </w:style>
  <w:style w:type="character" w:customStyle="1" w:styleId="CommentTextChar">
    <w:name w:val="Comment Text Char"/>
    <w:basedOn w:val="DefaultParagraphFont"/>
    <w:link w:val="CommentText"/>
    <w:uiPriority w:val="99"/>
    <w:semiHidden/>
    <w:rsid w:val="00736F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6FCC"/>
    <w:rPr>
      <w:rFonts w:ascii="Tahoma" w:hAnsi="Tahoma" w:cs="Tahoma"/>
      <w:sz w:val="16"/>
      <w:szCs w:val="16"/>
    </w:rPr>
  </w:style>
  <w:style w:type="character" w:customStyle="1" w:styleId="BalloonTextChar">
    <w:name w:val="Balloon Text Char"/>
    <w:basedOn w:val="DefaultParagraphFont"/>
    <w:link w:val="BalloonText"/>
    <w:uiPriority w:val="99"/>
    <w:semiHidden/>
    <w:rsid w:val="00736FC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E1FE3"/>
    <w:rPr>
      <w:b/>
      <w:bCs/>
    </w:rPr>
  </w:style>
  <w:style w:type="character" w:customStyle="1" w:styleId="CommentSubjectChar">
    <w:name w:val="Comment Subject Char"/>
    <w:basedOn w:val="CommentTextChar"/>
    <w:link w:val="CommentSubject"/>
    <w:uiPriority w:val="99"/>
    <w:semiHidden/>
    <w:rsid w:val="00CE1FE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E3739"/>
    <w:pPr>
      <w:tabs>
        <w:tab w:val="center" w:pos="4680"/>
        <w:tab w:val="right" w:pos="9360"/>
      </w:tabs>
    </w:pPr>
  </w:style>
  <w:style w:type="character" w:customStyle="1" w:styleId="FooterChar">
    <w:name w:val="Footer Char"/>
    <w:basedOn w:val="DefaultParagraphFont"/>
    <w:link w:val="Footer"/>
    <w:uiPriority w:val="99"/>
    <w:rsid w:val="00BE373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6FCC"/>
    <w:pPr>
      <w:jc w:val="both"/>
    </w:pPr>
    <w:rPr>
      <w:rFonts w:ascii="Arial" w:hAnsi="Arial"/>
      <w:sz w:val="24"/>
    </w:rPr>
  </w:style>
  <w:style w:type="character" w:customStyle="1" w:styleId="BodyTextChar">
    <w:name w:val="Body Text Char"/>
    <w:basedOn w:val="DefaultParagraphFont"/>
    <w:link w:val="BodyText"/>
    <w:rsid w:val="00736FCC"/>
    <w:rPr>
      <w:rFonts w:ascii="Arial" w:eastAsia="Times New Roman" w:hAnsi="Arial" w:cs="Times New Roman"/>
      <w:sz w:val="24"/>
      <w:szCs w:val="20"/>
    </w:rPr>
  </w:style>
  <w:style w:type="paragraph" w:styleId="NormalWeb">
    <w:name w:val="Normal (Web)"/>
    <w:basedOn w:val="Normal"/>
    <w:rsid w:val="00736FCC"/>
    <w:rPr>
      <w:sz w:val="24"/>
      <w:szCs w:val="24"/>
    </w:rPr>
  </w:style>
  <w:style w:type="paragraph" w:styleId="NoSpacing">
    <w:name w:val="No Spacing"/>
    <w:uiPriority w:val="1"/>
    <w:qFormat/>
    <w:rsid w:val="00736FC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FCC"/>
    <w:pPr>
      <w:ind w:left="720"/>
      <w:contextualSpacing/>
    </w:pPr>
  </w:style>
  <w:style w:type="paragraph" w:styleId="Header">
    <w:name w:val="header"/>
    <w:basedOn w:val="Normal"/>
    <w:link w:val="HeaderChar"/>
    <w:uiPriority w:val="99"/>
    <w:rsid w:val="00736FCC"/>
    <w:pPr>
      <w:tabs>
        <w:tab w:val="center" w:pos="4320"/>
        <w:tab w:val="right" w:pos="8640"/>
      </w:tabs>
    </w:pPr>
    <w:rPr>
      <w:sz w:val="24"/>
    </w:rPr>
  </w:style>
  <w:style w:type="character" w:customStyle="1" w:styleId="HeaderChar">
    <w:name w:val="Header Char"/>
    <w:basedOn w:val="DefaultParagraphFont"/>
    <w:link w:val="Header"/>
    <w:uiPriority w:val="99"/>
    <w:rsid w:val="00736FC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36FCC"/>
    <w:rPr>
      <w:sz w:val="16"/>
      <w:szCs w:val="16"/>
    </w:rPr>
  </w:style>
  <w:style w:type="paragraph" w:styleId="CommentText">
    <w:name w:val="annotation text"/>
    <w:basedOn w:val="Normal"/>
    <w:link w:val="CommentTextChar"/>
    <w:uiPriority w:val="99"/>
    <w:semiHidden/>
    <w:unhideWhenUsed/>
    <w:rsid w:val="00736FCC"/>
  </w:style>
  <w:style w:type="character" w:customStyle="1" w:styleId="CommentTextChar">
    <w:name w:val="Comment Text Char"/>
    <w:basedOn w:val="DefaultParagraphFont"/>
    <w:link w:val="CommentText"/>
    <w:uiPriority w:val="99"/>
    <w:semiHidden/>
    <w:rsid w:val="00736F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6FCC"/>
    <w:rPr>
      <w:rFonts w:ascii="Tahoma" w:hAnsi="Tahoma" w:cs="Tahoma"/>
      <w:sz w:val="16"/>
      <w:szCs w:val="16"/>
    </w:rPr>
  </w:style>
  <w:style w:type="character" w:customStyle="1" w:styleId="BalloonTextChar">
    <w:name w:val="Balloon Text Char"/>
    <w:basedOn w:val="DefaultParagraphFont"/>
    <w:link w:val="BalloonText"/>
    <w:uiPriority w:val="99"/>
    <w:semiHidden/>
    <w:rsid w:val="00736FC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E1FE3"/>
    <w:rPr>
      <w:b/>
      <w:bCs/>
    </w:rPr>
  </w:style>
  <w:style w:type="character" w:customStyle="1" w:styleId="CommentSubjectChar">
    <w:name w:val="Comment Subject Char"/>
    <w:basedOn w:val="CommentTextChar"/>
    <w:link w:val="CommentSubject"/>
    <w:uiPriority w:val="99"/>
    <w:semiHidden/>
    <w:rsid w:val="00CE1FE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E3739"/>
    <w:pPr>
      <w:tabs>
        <w:tab w:val="center" w:pos="4680"/>
        <w:tab w:val="right" w:pos="9360"/>
      </w:tabs>
    </w:pPr>
  </w:style>
  <w:style w:type="character" w:customStyle="1" w:styleId="FooterChar">
    <w:name w:val="Footer Char"/>
    <w:basedOn w:val="DefaultParagraphFont"/>
    <w:link w:val="Footer"/>
    <w:uiPriority w:val="99"/>
    <w:rsid w:val="00BE37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99218">
      <w:bodyDiv w:val="1"/>
      <w:marLeft w:val="0"/>
      <w:marRight w:val="0"/>
      <w:marTop w:val="0"/>
      <w:marBottom w:val="0"/>
      <w:divBdr>
        <w:top w:val="none" w:sz="0" w:space="0" w:color="auto"/>
        <w:left w:val="none" w:sz="0" w:space="0" w:color="auto"/>
        <w:bottom w:val="none" w:sz="0" w:space="0" w:color="auto"/>
        <w:right w:val="none" w:sz="0" w:space="0" w:color="auto"/>
      </w:divBdr>
    </w:div>
    <w:div w:id="867523576">
      <w:bodyDiv w:val="1"/>
      <w:marLeft w:val="0"/>
      <w:marRight w:val="0"/>
      <w:marTop w:val="0"/>
      <w:marBottom w:val="0"/>
      <w:divBdr>
        <w:top w:val="none" w:sz="0" w:space="0" w:color="auto"/>
        <w:left w:val="none" w:sz="0" w:space="0" w:color="auto"/>
        <w:bottom w:val="none" w:sz="0" w:space="0" w:color="auto"/>
        <w:right w:val="none" w:sz="0" w:space="0" w:color="auto"/>
      </w:divBdr>
    </w:div>
    <w:div w:id="1228489331">
      <w:bodyDiv w:val="1"/>
      <w:marLeft w:val="0"/>
      <w:marRight w:val="0"/>
      <w:marTop w:val="0"/>
      <w:marBottom w:val="0"/>
      <w:divBdr>
        <w:top w:val="none" w:sz="0" w:space="0" w:color="auto"/>
        <w:left w:val="none" w:sz="0" w:space="0" w:color="auto"/>
        <w:bottom w:val="none" w:sz="0" w:space="0" w:color="auto"/>
        <w:right w:val="none" w:sz="0" w:space="0" w:color="auto"/>
      </w:divBdr>
    </w:div>
    <w:div w:id="1624268506">
      <w:bodyDiv w:val="1"/>
      <w:marLeft w:val="0"/>
      <w:marRight w:val="0"/>
      <w:marTop w:val="0"/>
      <w:marBottom w:val="0"/>
      <w:divBdr>
        <w:top w:val="none" w:sz="0" w:space="0" w:color="auto"/>
        <w:left w:val="none" w:sz="0" w:space="0" w:color="auto"/>
        <w:bottom w:val="none" w:sz="0" w:space="0" w:color="auto"/>
        <w:right w:val="none" w:sz="0" w:space="0" w:color="auto"/>
      </w:divBdr>
    </w:div>
    <w:div w:id="17054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D328-6A58-4F7C-A97A-D9380781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Sgouros</dc:creator>
  <cp:lastModifiedBy>Nina Singleton</cp:lastModifiedBy>
  <cp:revision>20</cp:revision>
  <cp:lastPrinted>2019-11-04T22:24:00Z</cp:lastPrinted>
  <dcterms:created xsi:type="dcterms:W3CDTF">2019-10-18T18:19:00Z</dcterms:created>
  <dcterms:modified xsi:type="dcterms:W3CDTF">2019-11-05T21:35:00Z</dcterms:modified>
</cp:coreProperties>
</file>