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814111" w:rsidTr="00814111">
        <w:trPr>
          <w:tblCellSpacing w:w="0" w:type="dxa"/>
          <w:jc w:val="center"/>
        </w:trPr>
        <w:tc>
          <w:tcPr>
            <w:tcW w:w="9600" w:type="dxa"/>
            <w:shd w:val="clear" w:color="auto" w:fill="FFFFFF"/>
            <w:vAlign w:val="center"/>
            <w:hideMark/>
          </w:tcPr>
          <w:tbl>
            <w:tblPr>
              <w:tblW w:w="9600" w:type="dxa"/>
              <w:tblCellSpacing w:w="0" w:type="dxa"/>
              <w:tblCellMar>
                <w:left w:w="0" w:type="dxa"/>
                <w:right w:w="0" w:type="dxa"/>
              </w:tblCellMar>
              <w:tblLook w:val="04A0" w:firstRow="1" w:lastRow="0" w:firstColumn="1" w:lastColumn="0" w:noHBand="0" w:noVBand="1"/>
            </w:tblPr>
            <w:tblGrid>
              <w:gridCol w:w="225"/>
              <w:gridCol w:w="9150"/>
              <w:gridCol w:w="225"/>
            </w:tblGrid>
            <w:tr w:rsidR="00814111">
              <w:trPr>
                <w:tblCellSpacing w:w="0" w:type="dxa"/>
              </w:trPr>
              <w:tc>
                <w:tcPr>
                  <w:tcW w:w="225" w:type="dxa"/>
                  <w:vAlign w:val="center"/>
                  <w:hideMark/>
                </w:tcPr>
                <w:p w:rsidR="00814111" w:rsidRDefault="00814111">
                  <w:pPr>
                    <w:rPr>
                      <w:rFonts w:eastAsia="Times New Roman"/>
                    </w:rPr>
                  </w:pPr>
                  <w:r>
                    <w:rPr>
                      <w:rFonts w:eastAsia="Times New Roman"/>
                    </w:rPr>
                    <w:t> </w:t>
                  </w:r>
                </w:p>
              </w:tc>
              <w:tc>
                <w:tcPr>
                  <w:tcW w:w="9150" w:type="dxa"/>
                  <w:vAlign w:val="center"/>
                </w:tcPr>
                <w:tbl>
                  <w:tblPr>
                    <w:tblW w:w="9150" w:type="dxa"/>
                    <w:tblCellSpacing w:w="0" w:type="dxa"/>
                    <w:tblCellMar>
                      <w:left w:w="0" w:type="dxa"/>
                      <w:right w:w="0" w:type="dxa"/>
                    </w:tblCellMar>
                    <w:tblLook w:val="04A0" w:firstRow="1" w:lastRow="0" w:firstColumn="1" w:lastColumn="0" w:noHBand="0" w:noVBand="1"/>
                  </w:tblPr>
                  <w:tblGrid>
                    <w:gridCol w:w="9150"/>
                  </w:tblGrid>
                  <w:tr w:rsidR="00814111">
                    <w:trPr>
                      <w:trHeight w:val="120"/>
                      <w:tblCellSpacing w:w="0" w:type="dxa"/>
                    </w:trPr>
                    <w:tc>
                      <w:tcPr>
                        <w:tcW w:w="9150" w:type="dxa"/>
                        <w:vAlign w:val="center"/>
                        <w:hideMark/>
                      </w:tcPr>
                      <w:p w:rsidR="00814111" w:rsidRDefault="00814111">
                        <w:pPr>
                          <w:spacing w:line="120" w:lineRule="atLeast"/>
                          <w:rPr>
                            <w:rFonts w:eastAsia="Times New Roman"/>
                          </w:rPr>
                        </w:pPr>
                        <w:r>
                          <w:rPr>
                            <w:rFonts w:eastAsia="Times New Roman"/>
                          </w:rPr>
                          <w:t> </w:t>
                        </w:r>
                      </w:p>
                    </w:tc>
                  </w:tr>
                  <w:tr w:rsidR="00814111">
                    <w:trPr>
                      <w:tblCellSpacing w:w="0" w:type="dxa"/>
                    </w:trPr>
                    <w:tc>
                      <w:tcPr>
                        <w:tcW w:w="9150" w:type="dxa"/>
                        <w:vAlign w:val="center"/>
                        <w:hideMark/>
                      </w:tcPr>
                      <w:p w:rsidR="00814111" w:rsidRDefault="00814111">
                        <w:pPr>
                          <w:pStyle w:val="NormalWeb"/>
                          <w:spacing w:line="270" w:lineRule="atLeast"/>
                          <w:jc w:val="center"/>
                          <w:textAlignment w:val="baseline"/>
                          <w:rPr>
                            <w:rFonts w:ascii="Arial" w:hAnsi="Arial" w:cs="Arial"/>
                            <w:color w:val="333333"/>
                            <w:sz w:val="18"/>
                            <w:szCs w:val="18"/>
                          </w:rPr>
                        </w:pPr>
                        <w:r>
                          <w:rPr>
                            <w:rStyle w:val="Strong"/>
                            <w:rFonts w:ascii="Georgia" w:hAnsi="Georgia" w:cs="Arial"/>
                            <w:color w:val="333333"/>
                            <w:sz w:val="27"/>
                            <w:szCs w:val="27"/>
                          </w:rPr>
                          <w:t>2015 HHS Poverty Guidelines</w:t>
                        </w:r>
                      </w:p>
                      <w:p w:rsidR="00814111" w:rsidRDefault="00814111">
                        <w:pPr>
                          <w:pStyle w:val="NormalWeb"/>
                          <w:spacing w:line="270" w:lineRule="atLeast"/>
                          <w:textAlignment w:val="baseline"/>
                          <w:rPr>
                            <w:rFonts w:ascii="Arial" w:hAnsi="Arial" w:cs="Arial"/>
                            <w:color w:val="333333"/>
                            <w:sz w:val="18"/>
                            <w:szCs w:val="18"/>
                          </w:rPr>
                        </w:pPr>
                        <w:r>
                          <w:rPr>
                            <w:rFonts w:ascii="Arial" w:hAnsi="Arial" w:cs="Arial"/>
                            <w:color w:val="333333"/>
                            <w:sz w:val="18"/>
                            <w:szCs w:val="18"/>
                          </w:rPr>
                          <w:t xml:space="preserve">The annual update of the U.S. Department of Health and Human Services (HHS) Poverty Guidelines was published in the </w:t>
                        </w:r>
                        <w:hyperlink r:id="rId5" w:history="1">
                          <w:r>
                            <w:rPr>
                              <w:rStyle w:val="Hyperlink"/>
                              <w:rFonts w:ascii="Arial" w:hAnsi="Arial" w:cs="Arial"/>
                              <w:b/>
                              <w:bCs/>
                              <w:sz w:val="18"/>
                              <w:szCs w:val="18"/>
                            </w:rPr>
                            <w:t>Federal Register</w:t>
                          </w:r>
                        </w:hyperlink>
                        <w:r>
                          <w:rPr>
                            <w:rFonts w:ascii="Arial" w:hAnsi="Arial" w:cs="Arial"/>
                            <w:color w:val="333333"/>
                            <w:sz w:val="18"/>
                            <w:szCs w:val="18"/>
                          </w:rPr>
                          <w:t xml:space="preserve"> on Thursday, Jan. 22, 2015.</w:t>
                        </w:r>
                      </w:p>
                      <w:p w:rsidR="00814111" w:rsidRDefault="00814111">
                        <w:pPr>
                          <w:pStyle w:val="NormalWeb"/>
                          <w:spacing w:line="270" w:lineRule="atLeast"/>
                          <w:textAlignment w:val="baseline"/>
                          <w:rPr>
                            <w:rFonts w:ascii="Arial" w:hAnsi="Arial" w:cs="Arial"/>
                            <w:color w:val="333333"/>
                            <w:sz w:val="18"/>
                            <w:szCs w:val="18"/>
                          </w:rPr>
                        </w:pPr>
                        <w:r>
                          <w:rPr>
                            <w:rFonts w:ascii="Arial" w:hAnsi="Arial" w:cs="Arial"/>
                            <w:color w:val="333333"/>
                            <w:sz w:val="18"/>
                            <w:szCs w:val="18"/>
                          </w:rPr>
                          <w:t>Section 673(2) of the Omnibus Budget Reconciliation Act (OBRA) of 1981 (</w:t>
                        </w:r>
                        <w:hyperlink r:id="rId6" w:history="1">
                          <w:r>
                            <w:rPr>
                              <w:rStyle w:val="Hyperlink"/>
                              <w:rFonts w:ascii="Arial" w:hAnsi="Arial" w:cs="Arial"/>
                              <w:b/>
                              <w:bCs/>
                              <w:sz w:val="18"/>
                              <w:szCs w:val="18"/>
                            </w:rPr>
                            <w:t>42 U.S.C. 9902</w:t>
                          </w:r>
                        </w:hyperlink>
                        <w:r>
                          <w:rPr>
                            <w:rFonts w:ascii="Arial" w:hAnsi="Arial" w:cs="Arial"/>
                            <w:color w:val="333333"/>
                            <w:sz w:val="18"/>
                            <w:szCs w:val="18"/>
                          </w:rPr>
                          <w:t>(2)) requires the Secretary of the Department of Health and Human Services to update the poverty guidelines at least annually, adjusting them on the basis of the Consumer Price Index for All Urban Consumers (CPI-U). The poverty guidelines are used as an eligibility criterion by the Community Services Block Grant program and a number of other federal programs. The poverty guidelines issued here are a simplified version of the poverty thresholds that the Census Bureau uses to prepare its estimates of the number of individuals and families in poverty.</w:t>
                        </w:r>
                      </w:p>
                      <w:p w:rsidR="00814111" w:rsidRDefault="00814111">
                        <w:pPr>
                          <w:pStyle w:val="NormalWeb"/>
                          <w:spacing w:line="270" w:lineRule="atLeast"/>
                          <w:textAlignment w:val="baseline"/>
                          <w:rPr>
                            <w:rFonts w:ascii="Arial" w:hAnsi="Arial" w:cs="Arial"/>
                            <w:color w:val="333333"/>
                            <w:sz w:val="18"/>
                            <w:szCs w:val="18"/>
                          </w:rPr>
                        </w:pPr>
                        <w:r>
                          <w:rPr>
                            <w:rFonts w:ascii="Arial" w:hAnsi="Arial" w:cs="Arial"/>
                            <w:color w:val="333333"/>
                            <w:sz w:val="18"/>
                            <w:szCs w:val="18"/>
                          </w:rPr>
                          <w:t>As required by law, this update is accomplished by increasing the latest published Census Bureau poverty thresholds by the relevant percentage change in the CPI-U. The guidelines in this 2015 notice reflect the 1.6 percent price increase between calendar years 2013 and 2014. After this inflation adjustment, the guidelines are rounded and adjusted to standardize the differences between family sizes. The same calculation procedure was used this year as in previous years. (Note that these 2015 guidelines are roughly equal to the poverty thresholds for calendar year 2014, which the Census Bureau expects to publish in final form in September 2015.)</w:t>
                        </w:r>
                      </w:p>
                      <w:p w:rsidR="00814111" w:rsidRDefault="00814111">
                        <w:pPr>
                          <w:pStyle w:val="NormalWeb"/>
                          <w:spacing w:line="270" w:lineRule="atLeast"/>
                          <w:textAlignment w:val="baseline"/>
                          <w:rPr>
                            <w:rFonts w:ascii="Arial" w:hAnsi="Arial" w:cs="Arial"/>
                            <w:color w:val="333333"/>
                            <w:sz w:val="18"/>
                            <w:szCs w:val="18"/>
                          </w:rPr>
                        </w:pPr>
                        <w:r>
                          <w:rPr>
                            <w:rFonts w:ascii="Arial" w:hAnsi="Arial" w:cs="Arial"/>
                            <w:color w:val="333333"/>
                            <w:sz w:val="18"/>
                            <w:szCs w:val="18"/>
                          </w:rPr>
                          <w:t>The poverty guidelines continue to be derived from the Census Bureau's current official poverty thresholds; they are not derived from the Census Bureau's new Supplemental Poverty Measure (SPM).</w:t>
                        </w:r>
                      </w:p>
                      <w:p w:rsidR="00814111" w:rsidRDefault="00814111">
                        <w:pPr>
                          <w:pStyle w:val="NormalWeb"/>
                          <w:spacing w:line="270" w:lineRule="atLeast"/>
                          <w:textAlignment w:val="baseline"/>
                          <w:rPr>
                            <w:rFonts w:ascii="Arial" w:hAnsi="Arial" w:cs="Arial"/>
                            <w:color w:val="333333"/>
                            <w:sz w:val="18"/>
                            <w:szCs w:val="18"/>
                          </w:rPr>
                        </w:pPr>
                        <w:r>
                          <w:rPr>
                            <w:rFonts w:ascii="Arial" w:hAnsi="Arial" w:cs="Arial"/>
                            <w:color w:val="333333"/>
                            <w:sz w:val="18"/>
                            <w:szCs w:val="18"/>
                          </w:rPr>
                          <w:t>The following guideline figures represent annual income. </w:t>
                        </w:r>
                      </w:p>
                      <w:tbl>
                        <w:tblPr>
                          <w:tblW w:w="4500" w:type="pct"/>
                          <w:jc w:val="center"/>
                          <w:tblCellSpacing w:w="7" w:type="dxa"/>
                          <w:tblBorders>
                            <w:top w:val="outset" w:sz="2" w:space="0" w:color="auto"/>
                            <w:left w:val="outset" w:sz="2" w:space="0" w:color="auto"/>
                            <w:bottom w:val="outset" w:sz="2" w:space="0" w:color="auto"/>
                            <w:right w:val="outset" w:sz="2" w:space="0" w:color="auto"/>
                          </w:tblBorders>
                          <w:tblCellMar>
                            <w:top w:w="75" w:type="dxa"/>
                            <w:left w:w="75" w:type="dxa"/>
                            <w:bottom w:w="75" w:type="dxa"/>
                            <w:right w:w="75" w:type="dxa"/>
                          </w:tblCellMar>
                          <w:tblLook w:val="04A0" w:firstRow="1" w:lastRow="0" w:firstColumn="1" w:lastColumn="0" w:noHBand="0" w:noVBand="1"/>
                        </w:tblPr>
                        <w:tblGrid>
                          <w:gridCol w:w="5020"/>
                          <w:gridCol w:w="3215"/>
                        </w:tblGrid>
                        <w:tr w:rsidR="00814111">
                          <w:trPr>
                            <w:tblCellSpacing w:w="7" w:type="dxa"/>
                            <w:jc w:val="center"/>
                          </w:trPr>
                          <w:tc>
                            <w:tcPr>
                              <w:tcW w:w="0" w:type="auto"/>
                              <w:gridSpan w:val="2"/>
                              <w:tcBorders>
                                <w:top w:val="nil"/>
                                <w:left w:val="nil"/>
                                <w:bottom w:val="nil"/>
                                <w:right w:val="nil"/>
                              </w:tcBorders>
                              <w:vAlign w:val="center"/>
                              <w:hideMark/>
                            </w:tcPr>
                            <w:p w:rsidR="00814111" w:rsidRDefault="00814111">
                              <w:pPr>
                                <w:jc w:val="center"/>
                                <w:rPr>
                                  <w:rFonts w:ascii="Arial" w:eastAsia="Times New Roman" w:hAnsi="Arial" w:cs="Arial"/>
                                  <w:color w:val="333333"/>
                                  <w:sz w:val="18"/>
                                  <w:szCs w:val="18"/>
                                </w:rPr>
                              </w:pPr>
                              <w:r>
                                <w:rPr>
                                  <w:rStyle w:val="Strong"/>
                                  <w:rFonts w:ascii="Arial" w:eastAsia="Times New Roman" w:hAnsi="Arial" w:cs="Arial"/>
                                  <w:color w:val="333333"/>
                                  <w:sz w:val="18"/>
                                  <w:szCs w:val="18"/>
                                </w:rPr>
                                <w:t>2015 Poverty Guidelines for the 48 Contiguous States and the District of Columbia</w:t>
                              </w:r>
                            </w:p>
                          </w:tc>
                        </w:tr>
                        <w:tr w:rsidR="0081411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4111" w:rsidRDefault="00814111">
                              <w:pPr>
                                <w:pStyle w:val="NormalWeb"/>
                                <w:rPr>
                                  <w:rFonts w:ascii="Arial" w:hAnsi="Arial" w:cs="Arial"/>
                                  <w:color w:val="333333"/>
                                  <w:sz w:val="18"/>
                                  <w:szCs w:val="18"/>
                                </w:rPr>
                              </w:pPr>
                              <w:r>
                                <w:rPr>
                                  <w:rStyle w:val="Strong"/>
                                  <w:rFonts w:ascii="Arial" w:hAnsi="Arial" w:cs="Arial"/>
                                  <w:color w:val="333333"/>
                                  <w:sz w:val="18"/>
                                  <w:szCs w:val="18"/>
                                </w:rPr>
                                <w:t>Persons in family/household</w:t>
                              </w:r>
                            </w:p>
                          </w:tc>
                          <w:tc>
                            <w:tcPr>
                              <w:tcW w:w="0" w:type="auto"/>
                              <w:tcBorders>
                                <w:top w:val="outset" w:sz="6" w:space="0" w:color="auto"/>
                                <w:left w:val="outset" w:sz="6" w:space="0" w:color="auto"/>
                                <w:bottom w:val="outset" w:sz="6" w:space="0" w:color="auto"/>
                                <w:right w:val="outset" w:sz="6" w:space="0" w:color="auto"/>
                              </w:tcBorders>
                              <w:vAlign w:val="center"/>
                              <w:hideMark/>
                            </w:tcPr>
                            <w:p w:rsidR="00814111" w:rsidRDefault="00814111">
                              <w:pPr>
                                <w:pStyle w:val="NormalWeb"/>
                                <w:rPr>
                                  <w:rFonts w:ascii="Arial" w:hAnsi="Arial" w:cs="Arial"/>
                                  <w:color w:val="333333"/>
                                  <w:sz w:val="18"/>
                                  <w:szCs w:val="18"/>
                                </w:rPr>
                              </w:pPr>
                              <w:r>
                                <w:rPr>
                                  <w:rStyle w:val="Strong"/>
                                  <w:rFonts w:ascii="Arial" w:hAnsi="Arial" w:cs="Arial"/>
                                  <w:color w:val="333333"/>
                                  <w:sz w:val="18"/>
                                  <w:szCs w:val="18"/>
                                </w:rPr>
                                <w:t xml:space="preserve">Poverty guideline </w:t>
                              </w:r>
                            </w:p>
                          </w:tc>
                        </w:tr>
                        <w:tr w:rsidR="0081411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4111" w:rsidRDefault="00814111">
                              <w:pPr>
                                <w:pStyle w:val="NormalWeb"/>
                                <w:rPr>
                                  <w:rFonts w:ascii="Arial" w:hAnsi="Arial" w:cs="Arial"/>
                                  <w:color w:val="333333"/>
                                  <w:sz w:val="18"/>
                                  <w:szCs w:val="18"/>
                                </w:rPr>
                              </w:pPr>
                              <w:r>
                                <w:rPr>
                                  <w:rFonts w:ascii="Arial" w:hAnsi="Arial" w:cs="Arial"/>
                                  <w:color w:val="333333"/>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14111" w:rsidRDefault="00814111">
                              <w:pPr>
                                <w:pStyle w:val="NormalWeb"/>
                                <w:rPr>
                                  <w:rFonts w:ascii="Arial" w:hAnsi="Arial" w:cs="Arial"/>
                                  <w:color w:val="333333"/>
                                  <w:sz w:val="18"/>
                                  <w:szCs w:val="18"/>
                                </w:rPr>
                              </w:pPr>
                              <w:r>
                                <w:rPr>
                                  <w:rFonts w:ascii="Arial" w:hAnsi="Arial" w:cs="Arial"/>
                                  <w:color w:val="333333"/>
                                  <w:sz w:val="18"/>
                                  <w:szCs w:val="18"/>
                                </w:rPr>
                                <w:t>$11,770</w:t>
                              </w:r>
                            </w:p>
                          </w:tc>
                        </w:tr>
                        <w:tr w:rsidR="0081411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4111" w:rsidRDefault="00814111">
                              <w:pPr>
                                <w:pStyle w:val="NormalWeb"/>
                                <w:rPr>
                                  <w:rFonts w:ascii="Arial" w:hAnsi="Arial" w:cs="Arial"/>
                                  <w:color w:val="333333"/>
                                  <w:sz w:val="18"/>
                                  <w:szCs w:val="18"/>
                                </w:rPr>
                              </w:pPr>
                              <w:r>
                                <w:rPr>
                                  <w:rFonts w:ascii="Arial" w:hAnsi="Arial" w:cs="Arial"/>
                                  <w:color w:val="333333"/>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14111" w:rsidRDefault="00814111">
                              <w:pPr>
                                <w:pStyle w:val="NormalWeb"/>
                                <w:rPr>
                                  <w:rFonts w:ascii="Arial" w:hAnsi="Arial" w:cs="Arial"/>
                                  <w:color w:val="333333"/>
                                  <w:sz w:val="18"/>
                                  <w:szCs w:val="18"/>
                                </w:rPr>
                              </w:pPr>
                              <w:r>
                                <w:rPr>
                                  <w:rFonts w:ascii="Arial" w:hAnsi="Arial" w:cs="Arial"/>
                                  <w:color w:val="333333"/>
                                  <w:sz w:val="18"/>
                                  <w:szCs w:val="18"/>
                                </w:rPr>
                                <w:t>15,930</w:t>
                              </w:r>
                            </w:p>
                          </w:tc>
                        </w:tr>
                        <w:tr w:rsidR="0081411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4111" w:rsidRDefault="00814111">
                              <w:pPr>
                                <w:pStyle w:val="NormalWeb"/>
                                <w:rPr>
                                  <w:rFonts w:ascii="Arial" w:hAnsi="Arial" w:cs="Arial"/>
                                  <w:color w:val="333333"/>
                                  <w:sz w:val="18"/>
                                  <w:szCs w:val="18"/>
                                </w:rPr>
                              </w:pPr>
                              <w:r>
                                <w:rPr>
                                  <w:rFonts w:ascii="Arial" w:hAnsi="Arial" w:cs="Arial"/>
                                  <w:color w:val="333333"/>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14111" w:rsidRDefault="00814111">
                              <w:pPr>
                                <w:pStyle w:val="NormalWeb"/>
                                <w:rPr>
                                  <w:rFonts w:ascii="Arial" w:hAnsi="Arial" w:cs="Arial"/>
                                  <w:color w:val="333333"/>
                                  <w:sz w:val="18"/>
                                  <w:szCs w:val="18"/>
                                </w:rPr>
                              </w:pPr>
                              <w:r>
                                <w:rPr>
                                  <w:rFonts w:ascii="Arial" w:hAnsi="Arial" w:cs="Arial"/>
                                  <w:color w:val="333333"/>
                                  <w:sz w:val="18"/>
                                  <w:szCs w:val="18"/>
                                </w:rPr>
                                <w:t>20,090</w:t>
                              </w:r>
                            </w:p>
                          </w:tc>
                        </w:tr>
                        <w:tr w:rsidR="0081411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4111" w:rsidRDefault="00814111">
                              <w:pPr>
                                <w:pStyle w:val="NormalWeb"/>
                                <w:rPr>
                                  <w:rFonts w:ascii="Arial" w:hAnsi="Arial" w:cs="Arial"/>
                                  <w:color w:val="333333"/>
                                  <w:sz w:val="18"/>
                                  <w:szCs w:val="18"/>
                                </w:rPr>
                              </w:pPr>
                              <w:r>
                                <w:rPr>
                                  <w:rFonts w:ascii="Arial" w:hAnsi="Arial" w:cs="Arial"/>
                                  <w:color w:val="333333"/>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14111" w:rsidRDefault="00814111">
                              <w:pPr>
                                <w:pStyle w:val="NormalWeb"/>
                                <w:rPr>
                                  <w:rFonts w:ascii="Arial" w:hAnsi="Arial" w:cs="Arial"/>
                                  <w:color w:val="333333"/>
                                  <w:sz w:val="18"/>
                                  <w:szCs w:val="18"/>
                                </w:rPr>
                              </w:pPr>
                              <w:r>
                                <w:rPr>
                                  <w:rFonts w:ascii="Arial" w:hAnsi="Arial" w:cs="Arial"/>
                                  <w:color w:val="333333"/>
                                  <w:sz w:val="18"/>
                                  <w:szCs w:val="18"/>
                                </w:rPr>
                                <w:t>24,250</w:t>
                              </w:r>
                            </w:p>
                          </w:tc>
                        </w:tr>
                        <w:tr w:rsidR="0081411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4111" w:rsidRDefault="00814111">
                              <w:pPr>
                                <w:pStyle w:val="NormalWeb"/>
                                <w:rPr>
                                  <w:rFonts w:ascii="Arial" w:hAnsi="Arial" w:cs="Arial"/>
                                  <w:color w:val="333333"/>
                                  <w:sz w:val="18"/>
                                  <w:szCs w:val="18"/>
                                </w:rPr>
                              </w:pPr>
                              <w:r>
                                <w:rPr>
                                  <w:rFonts w:ascii="Arial" w:hAnsi="Arial" w:cs="Arial"/>
                                  <w:color w:val="333333"/>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14111" w:rsidRDefault="00814111">
                              <w:pPr>
                                <w:pStyle w:val="NormalWeb"/>
                                <w:rPr>
                                  <w:rFonts w:ascii="Arial" w:hAnsi="Arial" w:cs="Arial"/>
                                  <w:color w:val="333333"/>
                                  <w:sz w:val="18"/>
                                  <w:szCs w:val="18"/>
                                </w:rPr>
                              </w:pPr>
                              <w:r>
                                <w:rPr>
                                  <w:rFonts w:ascii="Arial" w:hAnsi="Arial" w:cs="Arial"/>
                                  <w:color w:val="333333"/>
                                  <w:sz w:val="18"/>
                                  <w:szCs w:val="18"/>
                                </w:rPr>
                                <w:t>28,410</w:t>
                              </w:r>
                            </w:p>
                          </w:tc>
                        </w:tr>
                        <w:tr w:rsidR="0081411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4111" w:rsidRDefault="00814111">
                              <w:pPr>
                                <w:pStyle w:val="NormalWeb"/>
                                <w:rPr>
                                  <w:rFonts w:ascii="Arial" w:hAnsi="Arial" w:cs="Arial"/>
                                  <w:color w:val="333333"/>
                                  <w:sz w:val="18"/>
                                  <w:szCs w:val="18"/>
                                </w:rPr>
                              </w:pPr>
                              <w:r>
                                <w:rPr>
                                  <w:rFonts w:ascii="Arial" w:hAnsi="Arial" w:cs="Arial"/>
                                  <w:color w:val="333333"/>
                                  <w:sz w:val="18"/>
                                  <w:szCs w:val="1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14111" w:rsidRDefault="00814111">
                              <w:pPr>
                                <w:pStyle w:val="NormalWeb"/>
                                <w:rPr>
                                  <w:rFonts w:ascii="Arial" w:hAnsi="Arial" w:cs="Arial"/>
                                  <w:color w:val="333333"/>
                                  <w:sz w:val="18"/>
                                  <w:szCs w:val="18"/>
                                </w:rPr>
                              </w:pPr>
                              <w:r>
                                <w:rPr>
                                  <w:rFonts w:ascii="Arial" w:hAnsi="Arial" w:cs="Arial"/>
                                  <w:color w:val="333333"/>
                                  <w:sz w:val="18"/>
                                  <w:szCs w:val="18"/>
                                </w:rPr>
                                <w:t>32,570</w:t>
                              </w:r>
                            </w:p>
                          </w:tc>
                        </w:tr>
                        <w:tr w:rsidR="0081411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4111" w:rsidRDefault="00814111">
                              <w:pPr>
                                <w:pStyle w:val="NormalWeb"/>
                                <w:rPr>
                                  <w:rFonts w:ascii="Arial" w:hAnsi="Arial" w:cs="Arial"/>
                                  <w:color w:val="333333"/>
                                  <w:sz w:val="18"/>
                                  <w:szCs w:val="18"/>
                                </w:rPr>
                              </w:pPr>
                              <w:r>
                                <w:rPr>
                                  <w:rFonts w:ascii="Arial" w:hAnsi="Arial" w:cs="Arial"/>
                                  <w:color w:val="333333"/>
                                  <w:sz w:val="18"/>
                                  <w:szCs w:val="1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14111" w:rsidRDefault="00814111">
                              <w:pPr>
                                <w:pStyle w:val="NormalWeb"/>
                                <w:rPr>
                                  <w:rFonts w:ascii="Arial" w:hAnsi="Arial" w:cs="Arial"/>
                                  <w:color w:val="333333"/>
                                  <w:sz w:val="18"/>
                                  <w:szCs w:val="18"/>
                                </w:rPr>
                              </w:pPr>
                              <w:r>
                                <w:rPr>
                                  <w:rFonts w:ascii="Arial" w:hAnsi="Arial" w:cs="Arial"/>
                                  <w:color w:val="333333"/>
                                  <w:sz w:val="18"/>
                                  <w:szCs w:val="18"/>
                                </w:rPr>
                                <w:t>36,730</w:t>
                              </w:r>
                            </w:p>
                          </w:tc>
                        </w:tr>
                        <w:tr w:rsidR="0081411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4111" w:rsidRDefault="00814111">
                              <w:pPr>
                                <w:pStyle w:val="NormalWeb"/>
                                <w:rPr>
                                  <w:rFonts w:ascii="Arial" w:hAnsi="Arial" w:cs="Arial"/>
                                  <w:color w:val="333333"/>
                                  <w:sz w:val="18"/>
                                  <w:szCs w:val="18"/>
                                </w:rPr>
                              </w:pPr>
                              <w:r>
                                <w:rPr>
                                  <w:rFonts w:ascii="Arial" w:hAnsi="Arial" w:cs="Arial"/>
                                  <w:color w:val="333333"/>
                                  <w:sz w:val="18"/>
                                  <w:szCs w:val="1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14111" w:rsidRDefault="00814111">
                              <w:pPr>
                                <w:pStyle w:val="NormalWeb"/>
                                <w:rPr>
                                  <w:rFonts w:ascii="Arial" w:hAnsi="Arial" w:cs="Arial"/>
                                  <w:color w:val="333333"/>
                                  <w:sz w:val="18"/>
                                  <w:szCs w:val="18"/>
                                </w:rPr>
                              </w:pPr>
                              <w:r>
                                <w:rPr>
                                  <w:rFonts w:ascii="Arial" w:hAnsi="Arial" w:cs="Arial"/>
                                  <w:color w:val="333333"/>
                                  <w:sz w:val="18"/>
                                  <w:szCs w:val="18"/>
                                </w:rPr>
                                <w:t>40,890</w:t>
                              </w:r>
                            </w:p>
                          </w:tc>
                        </w:tr>
                        <w:tr w:rsidR="00814111">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14111" w:rsidRDefault="00814111">
                              <w:pPr>
                                <w:pStyle w:val="NormalWeb"/>
                                <w:rPr>
                                  <w:rFonts w:ascii="Arial" w:hAnsi="Arial" w:cs="Arial"/>
                                  <w:color w:val="333333"/>
                                  <w:sz w:val="18"/>
                                  <w:szCs w:val="18"/>
                                </w:rPr>
                              </w:pPr>
                              <w:r>
                                <w:rPr>
                                  <w:rStyle w:val="Emphasis"/>
                                  <w:rFonts w:ascii="Arial" w:hAnsi="Arial" w:cs="Arial"/>
                                  <w:color w:val="333333"/>
                                  <w:sz w:val="18"/>
                                  <w:szCs w:val="18"/>
                                </w:rPr>
                                <w:t>For families/households with more than eight persons, add $4,160 for each additional person.</w:t>
                              </w:r>
                            </w:p>
                          </w:tc>
                        </w:tr>
                      </w:tbl>
                      <w:p w:rsidR="00814111" w:rsidRDefault="00814111" w:rsidP="00814111">
                        <w:pPr>
                          <w:pStyle w:val="NormalWeb"/>
                          <w:spacing w:line="270" w:lineRule="atLeast"/>
                          <w:textAlignment w:val="baseline"/>
                          <w:rPr>
                            <w:rFonts w:ascii="Arial" w:hAnsi="Arial" w:cs="Arial"/>
                            <w:color w:val="333333"/>
                            <w:sz w:val="18"/>
                            <w:szCs w:val="18"/>
                          </w:rPr>
                        </w:pPr>
                        <w:r>
                          <w:rPr>
                            <w:rFonts w:ascii="Arial" w:hAnsi="Arial" w:cs="Arial"/>
                            <w:color w:val="333333"/>
                            <w:sz w:val="18"/>
                            <w:szCs w:val="18"/>
                          </w:rPr>
                          <w:t>  </w:t>
                        </w:r>
                        <w:bookmarkStart w:id="0" w:name="_GoBack"/>
                        <w:bookmarkEnd w:id="0"/>
                      </w:p>
                    </w:tc>
                  </w:tr>
                </w:tbl>
                <w:p w:rsidR="00814111" w:rsidRDefault="00814111">
                  <w:pPr>
                    <w:rPr>
                      <w:rFonts w:ascii="Arial" w:eastAsia="Times New Roman" w:hAnsi="Arial" w:cs="Arial"/>
                      <w:vanish/>
                      <w:sz w:val="18"/>
                      <w:szCs w:val="18"/>
                    </w:rPr>
                  </w:pPr>
                </w:p>
                <w:p w:rsidR="00814111" w:rsidRDefault="00814111">
                  <w:pPr>
                    <w:rPr>
                      <w:rFonts w:eastAsia="Times New Roman"/>
                      <w:sz w:val="20"/>
                      <w:szCs w:val="20"/>
                    </w:rPr>
                  </w:pPr>
                </w:p>
              </w:tc>
              <w:tc>
                <w:tcPr>
                  <w:tcW w:w="225" w:type="dxa"/>
                  <w:vAlign w:val="center"/>
                  <w:hideMark/>
                </w:tcPr>
                <w:p w:rsidR="00814111" w:rsidRDefault="00814111">
                  <w:pPr>
                    <w:rPr>
                      <w:rFonts w:eastAsia="Times New Roman"/>
                    </w:rPr>
                  </w:pPr>
                  <w:r>
                    <w:rPr>
                      <w:rFonts w:eastAsia="Times New Roman"/>
                    </w:rPr>
                    <w:t> </w:t>
                  </w:r>
                </w:p>
              </w:tc>
            </w:tr>
          </w:tbl>
          <w:p w:rsidR="00814111" w:rsidRDefault="00814111">
            <w:pPr>
              <w:rPr>
                <w:rFonts w:eastAsia="Times New Roman"/>
                <w:sz w:val="20"/>
                <w:szCs w:val="20"/>
              </w:rPr>
            </w:pPr>
          </w:p>
        </w:tc>
      </w:tr>
      <w:tr w:rsidR="00814111" w:rsidTr="00814111">
        <w:trPr>
          <w:tblCellSpacing w:w="0" w:type="dxa"/>
          <w:jc w:val="center"/>
        </w:trPr>
        <w:tc>
          <w:tcPr>
            <w:tcW w:w="9600" w:type="dxa"/>
            <w:vAlign w:val="center"/>
            <w:hideMark/>
          </w:tcPr>
          <w:p w:rsidR="00814111" w:rsidRDefault="00814111">
            <w:pPr>
              <w:rPr>
                <w:rFonts w:eastAsia="Times New Roman"/>
                <w:sz w:val="20"/>
                <w:szCs w:val="20"/>
              </w:rPr>
            </w:pPr>
          </w:p>
        </w:tc>
      </w:tr>
    </w:tbl>
    <w:p w:rsidR="00A2703D" w:rsidRDefault="00862E87"/>
    <w:sectPr w:rsidR="00A27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11"/>
    <w:rsid w:val="000D19D8"/>
    <w:rsid w:val="00400EE6"/>
    <w:rsid w:val="0081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11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4111"/>
    <w:rPr>
      <w:strike w:val="0"/>
      <w:dstrike w:val="0"/>
      <w:color w:val="00407D"/>
      <w:u w:val="none"/>
      <w:effect w:val="none"/>
    </w:rPr>
  </w:style>
  <w:style w:type="paragraph" w:styleId="NormalWeb">
    <w:name w:val="Normal (Web)"/>
    <w:basedOn w:val="Normal"/>
    <w:uiPriority w:val="99"/>
    <w:unhideWhenUsed/>
    <w:rsid w:val="00814111"/>
    <w:pPr>
      <w:spacing w:after="150"/>
    </w:pPr>
  </w:style>
  <w:style w:type="character" w:customStyle="1" w:styleId="noarchive">
    <w:name w:val="no_archive"/>
    <w:basedOn w:val="DefaultParagraphFont"/>
    <w:rsid w:val="00814111"/>
  </w:style>
  <w:style w:type="character" w:styleId="Strong">
    <w:name w:val="Strong"/>
    <w:basedOn w:val="DefaultParagraphFont"/>
    <w:uiPriority w:val="22"/>
    <w:qFormat/>
    <w:rsid w:val="00814111"/>
    <w:rPr>
      <w:b/>
      <w:bCs/>
    </w:rPr>
  </w:style>
  <w:style w:type="character" w:styleId="Emphasis">
    <w:name w:val="Emphasis"/>
    <w:basedOn w:val="DefaultParagraphFont"/>
    <w:uiPriority w:val="20"/>
    <w:qFormat/>
    <w:rsid w:val="00814111"/>
    <w:rPr>
      <w:i/>
      <w:iCs/>
    </w:rPr>
  </w:style>
  <w:style w:type="paragraph" w:styleId="BalloonText">
    <w:name w:val="Balloon Text"/>
    <w:basedOn w:val="Normal"/>
    <w:link w:val="BalloonTextChar"/>
    <w:uiPriority w:val="99"/>
    <w:semiHidden/>
    <w:unhideWhenUsed/>
    <w:rsid w:val="00814111"/>
    <w:rPr>
      <w:rFonts w:ascii="Tahoma" w:hAnsi="Tahoma" w:cs="Tahoma"/>
      <w:sz w:val="16"/>
      <w:szCs w:val="16"/>
    </w:rPr>
  </w:style>
  <w:style w:type="character" w:customStyle="1" w:styleId="BalloonTextChar">
    <w:name w:val="Balloon Text Char"/>
    <w:basedOn w:val="DefaultParagraphFont"/>
    <w:link w:val="BalloonText"/>
    <w:uiPriority w:val="99"/>
    <w:semiHidden/>
    <w:rsid w:val="00814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11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4111"/>
    <w:rPr>
      <w:strike w:val="0"/>
      <w:dstrike w:val="0"/>
      <w:color w:val="00407D"/>
      <w:u w:val="none"/>
      <w:effect w:val="none"/>
    </w:rPr>
  </w:style>
  <w:style w:type="paragraph" w:styleId="NormalWeb">
    <w:name w:val="Normal (Web)"/>
    <w:basedOn w:val="Normal"/>
    <w:uiPriority w:val="99"/>
    <w:unhideWhenUsed/>
    <w:rsid w:val="00814111"/>
    <w:pPr>
      <w:spacing w:after="150"/>
    </w:pPr>
  </w:style>
  <w:style w:type="character" w:customStyle="1" w:styleId="noarchive">
    <w:name w:val="no_archive"/>
    <w:basedOn w:val="DefaultParagraphFont"/>
    <w:rsid w:val="00814111"/>
  </w:style>
  <w:style w:type="character" w:styleId="Strong">
    <w:name w:val="Strong"/>
    <w:basedOn w:val="DefaultParagraphFont"/>
    <w:uiPriority w:val="22"/>
    <w:qFormat/>
    <w:rsid w:val="00814111"/>
    <w:rPr>
      <w:b/>
      <w:bCs/>
    </w:rPr>
  </w:style>
  <w:style w:type="character" w:styleId="Emphasis">
    <w:name w:val="Emphasis"/>
    <w:basedOn w:val="DefaultParagraphFont"/>
    <w:uiPriority w:val="20"/>
    <w:qFormat/>
    <w:rsid w:val="00814111"/>
    <w:rPr>
      <w:i/>
      <w:iCs/>
    </w:rPr>
  </w:style>
  <w:style w:type="paragraph" w:styleId="BalloonText">
    <w:name w:val="Balloon Text"/>
    <w:basedOn w:val="Normal"/>
    <w:link w:val="BalloonTextChar"/>
    <w:uiPriority w:val="99"/>
    <w:semiHidden/>
    <w:unhideWhenUsed/>
    <w:rsid w:val="00814111"/>
    <w:rPr>
      <w:rFonts w:ascii="Tahoma" w:hAnsi="Tahoma" w:cs="Tahoma"/>
      <w:sz w:val="16"/>
      <w:szCs w:val="16"/>
    </w:rPr>
  </w:style>
  <w:style w:type="character" w:customStyle="1" w:styleId="BalloonTextChar">
    <w:name w:val="Balloon Text Char"/>
    <w:basedOn w:val="DefaultParagraphFont"/>
    <w:link w:val="BalloonText"/>
    <w:uiPriority w:val="99"/>
    <w:semiHidden/>
    <w:rsid w:val="00814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45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sicc.cmail2.com/t/j-l-dtwfl-hjjkllkty-h/" TargetMode="External"/><Relationship Id="rId5" Type="http://schemas.openxmlformats.org/officeDocument/2006/relationships/hyperlink" Target="http://hsicc.cmail2.com/t/j-l-dtwfl-hjjkllkty-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1806</Characters>
  <Application>Microsoft Office Word</Application>
  <DocSecurity>0</DocSecurity>
  <Lines>200</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Leiner</dc:creator>
  <cp:lastModifiedBy>Laurie Leiner</cp:lastModifiedBy>
  <cp:revision>2</cp:revision>
  <dcterms:created xsi:type="dcterms:W3CDTF">2015-01-23T19:03:00Z</dcterms:created>
  <dcterms:modified xsi:type="dcterms:W3CDTF">2015-01-23T19:03:00Z</dcterms:modified>
</cp:coreProperties>
</file>